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7403" w14:textId="5D44DC9D"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p>
    <w:p w14:paraId="4E909FEE" w14:textId="14E71EE8" w:rsidR="00522817" w:rsidRPr="00522817" w:rsidRDefault="00D42C93" w:rsidP="00711D23">
      <w:pPr>
        <w:spacing w:after="0" w:line="240" w:lineRule="auto"/>
        <w:outlineLvl w:val="1"/>
        <w:rPr>
          <w:rFonts w:eastAsia="Times New Roman" w:cstheme="minorHAnsi"/>
          <w:sz w:val="28"/>
          <w:szCs w:val="28"/>
          <w:lang w:eastAsia="en-GB"/>
        </w:rPr>
      </w:pPr>
      <w:r w:rsidRPr="00D42C93">
        <w:rPr>
          <w:rFonts w:eastAsia="Times New Roman" w:cstheme="minorHAnsi"/>
          <w:sz w:val="28"/>
          <w:szCs w:val="28"/>
          <w:lang w:eastAsia="en-GB"/>
        </w:rPr>
        <w:t xml:space="preserve">Development of a novel biocomposite-integrated thin film reactor for the intensification of </w:t>
      </w:r>
      <w:proofErr w:type="spellStart"/>
      <w:r w:rsidRPr="00D42C93">
        <w:rPr>
          <w:rFonts w:eastAsia="Times New Roman" w:cstheme="minorHAnsi"/>
          <w:sz w:val="28"/>
          <w:szCs w:val="28"/>
          <w:lang w:eastAsia="en-GB"/>
        </w:rPr>
        <w:t>biosolar</w:t>
      </w:r>
      <w:proofErr w:type="spellEnd"/>
      <w:r w:rsidRPr="00D42C93">
        <w:rPr>
          <w:rFonts w:eastAsia="Times New Roman" w:cstheme="minorHAnsi"/>
          <w:sz w:val="28"/>
          <w:szCs w:val="28"/>
          <w:lang w:eastAsia="en-GB"/>
        </w:rPr>
        <w:t xml:space="preserve"> energy-driven gas clean-up processing</w:t>
      </w: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305B1AEF" w14:textId="77777777" w:rsidR="00D42C93" w:rsidRPr="00D42C93" w:rsidRDefault="00D42C93" w:rsidP="00D42C93">
      <w:pPr>
        <w:spacing w:after="0" w:line="240" w:lineRule="auto"/>
        <w:outlineLvl w:val="1"/>
        <w:rPr>
          <w:rFonts w:eastAsia="Times New Roman" w:cstheme="minorHAnsi"/>
          <w:sz w:val="28"/>
          <w:szCs w:val="28"/>
          <w:lang w:eastAsia="en-GB"/>
        </w:rPr>
      </w:pPr>
      <w:r w:rsidRPr="00D42C93">
        <w:rPr>
          <w:rFonts w:eastAsia="Times New Roman" w:cstheme="minorHAnsi"/>
          <w:sz w:val="28"/>
          <w:szCs w:val="28"/>
          <w:lang w:eastAsia="en-GB"/>
        </w:rPr>
        <w:t xml:space="preserve">This proposed project seeks to establish an entirely new, scalable, solar energy driven microbial gas absorber technology by a novel combination of advanced photoreactive biocomposite materials, experimental thin film absorber design and modelling approaches. This is significant both for utilizing solar energy for gaseous carbon capture and the potential to significantly intensify the reactivity of photosynthetic microorganisms for gas clean-up via the development of a continuously operated, thin film bioreactor. Two versions of such a reactor will be developed: a spinning disk version and a spinning tube version. The reaction surface will be coated with a “microbial paper” containing a very high density of photosynthetic micro-organisms - a technology recently discovered at North Carolina State University (NCSU) [1]. Photosynthetic bacteria, cyanobacteria and algae can be concentrated and immobilised within an adhesive paper-based nonwoven biocomposite material formed by controlled drying into defined thinness, </w:t>
      </w:r>
      <w:proofErr w:type="gramStart"/>
      <w:r w:rsidRPr="00D42C93">
        <w:rPr>
          <w:rFonts w:eastAsia="Times New Roman" w:cstheme="minorHAnsi"/>
          <w:sz w:val="28"/>
          <w:szCs w:val="28"/>
          <w:lang w:eastAsia="en-GB"/>
        </w:rPr>
        <w:t>adhesion</w:t>
      </w:r>
      <w:proofErr w:type="gramEnd"/>
      <w:r w:rsidRPr="00D42C93">
        <w:rPr>
          <w:rFonts w:eastAsia="Times New Roman" w:cstheme="minorHAnsi"/>
          <w:sz w:val="28"/>
          <w:szCs w:val="28"/>
          <w:lang w:eastAsia="en-GB"/>
        </w:rPr>
        <w:t xml:space="preserve"> and pore structure. When the paper is rehydrated and illuminated, the entrapped microbes can be photosynthetically active for 100s to 1,000s of hours. </w:t>
      </w:r>
    </w:p>
    <w:p w14:paraId="2A79978F" w14:textId="2005B9E3" w:rsidR="00711D23" w:rsidRDefault="00D42C93" w:rsidP="00D42C93">
      <w:pPr>
        <w:spacing w:after="0" w:line="240" w:lineRule="auto"/>
        <w:outlineLvl w:val="1"/>
        <w:rPr>
          <w:rFonts w:eastAsia="Times New Roman" w:cstheme="minorHAnsi"/>
          <w:sz w:val="28"/>
          <w:szCs w:val="28"/>
          <w:lang w:eastAsia="en-GB"/>
        </w:rPr>
      </w:pPr>
      <w:r w:rsidRPr="00D42C93">
        <w:rPr>
          <w:rFonts w:eastAsia="Times New Roman" w:cstheme="minorHAnsi"/>
          <w:sz w:val="28"/>
          <w:szCs w:val="28"/>
          <w:lang w:eastAsia="en-GB"/>
        </w:rPr>
        <w:t xml:space="preserve">This proposed project </w:t>
      </w:r>
      <w:r>
        <w:rPr>
          <w:rFonts w:eastAsia="Times New Roman" w:cstheme="minorHAnsi"/>
          <w:sz w:val="28"/>
          <w:szCs w:val="28"/>
          <w:lang w:eastAsia="en-GB"/>
        </w:rPr>
        <w:t xml:space="preserve">aims to demonstrate that </w:t>
      </w:r>
      <w:r w:rsidRPr="00D42C93">
        <w:rPr>
          <w:rFonts w:eastAsia="Times New Roman" w:cstheme="minorHAnsi"/>
          <w:sz w:val="28"/>
          <w:szCs w:val="28"/>
          <w:lang w:eastAsia="en-GB"/>
        </w:rPr>
        <w:t xml:space="preserve">thin, </w:t>
      </w:r>
      <w:proofErr w:type="gramStart"/>
      <w:r w:rsidRPr="00D42C93">
        <w:rPr>
          <w:rFonts w:eastAsia="Times New Roman" w:cstheme="minorHAnsi"/>
          <w:sz w:val="28"/>
          <w:szCs w:val="28"/>
          <w:lang w:eastAsia="en-GB"/>
        </w:rPr>
        <w:t>continuous</w:t>
      </w:r>
      <w:proofErr w:type="gramEnd"/>
      <w:r w:rsidRPr="00D42C93">
        <w:rPr>
          <w:rFonts w:eastAsia="Times New Roman" w:cstheme="minorHAnsi"/>
          <w:sz w:val="28"/>
          <w:szCs w:val="28"/>
          <w:lang w:eastAsia="en-GB"/>
        </w:rPr>
        <w:t xml:space="preserve"> and controllable liquid films flowing over the surface of a paper-based biocomposite material can intensify gas uptake and biotransformation by a high density of entrapped photosynthetic micro-organisms. A preliminary proof of concept project has </w:t>
      </w:r>
      <w:r>
        <w:rPr>
          <w:rFonts w:eastAsia="Times New Roman" w:cstheme="minorHAnsi"/>
          <w:sz w:val="28"/>
          <w:szCs w:val="28"/>
          <w:lang w:eastAsia="en-GB"/>
        </w:rPr>
        <w:t xml:space="preserve">highlighted </w:t>
      </w:r>
      <w:r w:rsidRPr="00D42C93">
        <w:rPr>
          <w:rFonts w:eastAsia="Times New Roman" w:cstheme="minorHAnsi"/>
          <w:sz w:val="28"/>
          <w:szCs w:val="28"/>
          <w:lang w:eastAsia="en-GB"/>
        </w:rPr>
        <w:t>promising potential for such a technology to be developed further to achieve bioprocess intensification of CO2 uptake</w:t>
      </w:r>
      <w:r>
        <w:rPr>
          <w:rFonts w:eastAsia="Times New Roman" w:cstheme="minorHAnsi"/>
          <w:sz w:val="28"/>
          <w:szCs w:val="28"/>
          <w:lang w:eastAsia="en-GB"/>
        </w:rPr>
        <w:t xml:space="preserve"> [2]</w:t>
      </w:r>
      <w:r w:rsidRPr="00D42C93">
        <w:rPr>
          <w:rFonts w:eastAsia="Times New Roman" w:cstheme="minorHAnsi"/>
          <w:sz w:val="28"/>
          <w:szCs w:val="28"/>
          <w:lang w:eastAsia="en-GB"/>
        </w:rPr>
        <w:t xml:space="preserve">. If successful, this technology will enable many different types of microbial biotransformations of waste carbon gases at industrial scales with applications to </w:t>
      </w:r>
      <w:proofErr w:type="spellStart"/>
      <w:r w:rsidRPr="00D42C93">
        <w:rPr>
          <w:rFonts w:eastAsia="Times New Roman" w:cstheme="minorHAnsi"/>
          <w:sz w:val="28"/>
          <w:szCs w:val="28"/>
          <w:lang w:eastAsia="en-GB"/>
        </w:rPr>
        <w:t>valorization</w:t>
      </w:r>
      <w:proofErr w:type="spellEnd"/>
      <w:r w:rsidRPr="00D42C93">
        <w:rPr>
          <w:rFonts w:eastAsia="Times New Roman" w:cstheme="minorHAnsi"/>
          <w:sz w:val="28"/>
          <w:szCs w:val="28"/>
          <w:lang w:eastAsia="en-GB"/>
        </w:rPr>
        <w:t xml:space="preserve"> of not only CO2 but also syngas (CO), biogas (CH4), and volatile organic carbon (VOC) pollutants.</w:t>
      </w:r>
    </w:p>
    <w:p w14:paraId="1B43E1A5" w14:textId="77777777" w:rsidR="00D21996" w:rsidRDefault="00D21996" w:rsidP="00D42C93">
      <w:pPr>
        <w:spacing w:after="0" w:line="240" w:lineRule="auto"/>
        <w:outlineLvl w:val="1"/>
        <w:rPr>
          <w:rFonts w:eastAsia="Times New Roman" w:cstheme="minorHAnsi"/>
          <w:sz w:val="28"/>
          <w:szCs w:val="28"/>
          <w:lang w:eastAsia="en-GB"/>
        </w:rPr>
      </w:pPr>
    </w:p>
    <w:p w14:paraId="4B7183D3" w14:textId="77777777" w:rsidR="00D21996" w:rsidRDefault="00D21996" w:rsidP="00D21996">
      <w:pPr>
        <w:rPr>
          <w:rFonts w:ascii="Derailed" w:hAnsi="Derailed"/>
          <w:i/>
          <w:iCs/>
        </w:rPr>
      </w:pPr>
      <w:r>
        <w:rPr>
          <w:rFonts w:ascii="Derailed" w:hAnsi="Derailed"/>
          <w:i/>
          <w:iCs/>
        </w:rPr>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BBEC8EE" w:rsidR="00711D23" w:rsidRPr="00522817" w:rsidRDefault="00D42C93" w:rsidP="0068098D">
      <w:pPr>
        <w:spacing w:after="0" w:line="240" w:lineRule="auto"/>
        <w:outlineLvl w:val="1"/>
        <w:rPr>
          <w:rFonts w:eastAsia="Times New Roman" w:cstheme="minorHAnsi"/>
          <w:sz w:val="28"/>
          <w:szCs w:val="28"/>
          <w:lang w:eastAsia="en-GB"/>
        </w:rPr>
      </w:pPr>
      <w:r w:rsidRPr="00D42C93">
        <w:rPr>
          <w:rFonts w:eastAsia="Times New Roman" w:cstheme="minorHAnsi"/>
          <w:sz w:val="28"/>
          <w:szCs w:val="28"/>
          <w:lang w:eastAsia="en-GB"/>
        </w:rPr>
        <w:lastRenderedPageBreak/>
        <w:t xml:space="preserve">[1] O.I. Bernal, C.B. Mooney, M.C. Flickinger, Specific Photosynthetic Rate Enhancement by Cyanobacteria Coated </w:t>
      </w:r>
      <w:proofErr w:type="gramStart"/>
      <w:r w:rsidRPr="00D42C93">
        <w:rPr>
          <w:rFonts w:eastAsia="Times New Roman" w:cstheme="minorHAnsi"/>
          <w:sz w:val="28"/>
          <w:szCs w:val="28"/>
          <w:lang w:eastAsia="en-GB"/>
        </w:rPr>
        <w:t>Onto</w:t>
      </w:r>
      <w:proofErr w:type="gramEnd"/>
      <w:r w:rsidRPr="00D42C93">
        <w:rPr>
          <w:rFonts w:eastAsia="Times New Roman" w:cstheme="minorHAnsi"/>
          <w:sz w:val="28"/>
          <w:szCs w:val="28"/>
          <w:lang w:eastAsia="en-GB"/>
        </w:rPr>
        <w:t xml:space="preserve"> Paper Enables Engineering of Highly Reactive Cellular Biocomposite ‘‘Leaves’’, Biotech. </w:t>
      </w:r>
      <w:proofErr w:type="spellStart"/>
      <w:r w:rsidRPr="00D42C93">
        <w:rPr>
          <w:rFonts w:eastAsia="Times New Roman" w:cstheme="minorHAnsi"/>
          <w:sz w:val="28"/>
          <w:szCs w:val="28"/>
          <w:lang w:eastAsia="en-GB"/>
        </w:rPr>
        <w:t>Bioeng</w:t>
      </w:r>
      <w:proofErr w:type="spellEnd"/>
      <w:r w:rsidRPr="00D42C93">
        <w:rPr>
          <w:rFonts w:eastAsia="Times New Roman" w:cstheme="minorHAnsi"/>
          <w:sz w:val="28"/>
          <w:szCs w:val="28"/>
          <w:lang w:eastAsia="en-GB"/>
        </w:rPr>
        <w:t>. (2014) 111(10), 1993-2008.</w:t>
      </w:r>
    </w:p>
    <w:p w14:paraId="4E3F8AAB" w14:textId="790E1629" w:rsidR="00522817" w:rsidRPr="00522817" w:rsidRDefault="00D42C93"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[2] </w:t>
      </w:r>
      <w:r w:rsidR="000836C0" w:rsidRPr="000836C0">
        <w:rPr>
          <w:rFonts w:eastAsia="Times New Roman" w:cstheme="minorHAnsi"/>
          <w:sz w:val="28"/>
          <w:szCs w:val="28"/>
          <w:lang w:eastAsia="en-GB"/>
        </w:rPr>
        <w:t>Ekins-Coward, T., Boodhoo, K, S. Velasquez-Orta, G. Caldwell, A. Wallace, R. Barton, and M. C. Flickinger, A microalgae biocomposite-integrated Spinning Disc Bioreactor (SDBR): Towards a scalable engineering approach for bioprocess intensification in light-driven CO2 absorption applications, Ind. Eng. Chem. Res., 58(15), 5936-5949 (2019).</w:t>
      </w:r>
    </w:p>
    <w:p w14:paraId="24408E4C" w14:textId="77777777" w:rsidR="000836C0"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23BE937" w14:textId="77777777" w:rsidR="000836C0" w:rsidRDefault="000836C0"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Professor Kamelia Boodhoo</w:t>
      </w:r>
    </w:p>
    <w:p w14:paraId="4E2ADBAF" w14:textId="77777777" w:rsidR="000836C0" w:rsidRDefault="000836C0"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Professor of Intensified Chemical Processing</w:t>
      </w:r>
    </w:p>
    <w:p w14:paraId="4C7BB0D7" w14:textId="66270930" w:rsidR="000836C0" w:rsidRPr="000836C0" w:rsidRDefault="000836C0" w:rsidP="000836C0">
      <w:pPr>
        <w:spacing w:after="0" w:line="240" w:lineRule="auto"/>
        <w:outlineLvl w:val="1"/>
        <w:rPr>
          <w:rFonts w:eastAsia="Times New Roman" w:cstheme="minorHAnsi"/>
          <w:sz w:val="28"/>
          <w:szCs w:val="28"/>
          <w:lang w:eastAsia="en-GB"/>
        </w:rPr>
      </w:pPr>
      <w:r w:rsidRPr="000836C0">
        <w:rPr>
          <w:rFonts w:eastAsia="Times New Roman" w:cstheme="minorHAnsi"/>
          <w:sz w:val="28"/>
          <w:szCs w:val="28"/>
          <w:lang w:eastAsia="en-GB"/>
        </w:rPr>
        <w:t xml:space="preserve">Email: </w:t>
      </w:r>
      <w:hyperlink r:id="rId8" w:history="1">
        <w:r w:rsidRPr="00431BB1">
          <w:rPr>
            <w:rStyle w:val="Hyperlink"/>
            <w:rFonts w:eastAsia="Times New Roman" w:cstheme="minorHAnsi"/>
            <w:sz w:val="28"/>
            <w:szCs w:val="28"/>
            <w:lang w:eastAsia="en-GB"/>
          </w:rPr>
          <w:t>kamelia.boodhoo@ncl.ac.uk</w:t>
        </w:r>
      </w:hyperlink>
      <w:r>
        <w:rPr>
          <w:rFonts w:eastAsia="Times New Roman" w:cstheme="minorHAnsi"/>
          <w:sz w:val="28"/>
          <w:szCs w:val="28"/>
          <w:lang w:eastAsia="en-GB"/>
        </w:rPr>
        <w:t xml:space="preserve"> </w:t>
      </w:r>
    </w:p>
    <w:p w14:paraId="2A78F7D1" w14:textId="5F3D008F" w:rsidR="00711D23" w:rsidRPr="000836C0" w:rsidRDefault="000836C0" w:rsidP="000836C0">
      <w:pPr>
        <w:spacing w:after="0" w:line="240" w:lineRule="auto"/>
        <w:outlineLvl w:val="1"/>
        <w:rPr>
          <w:rFonts w:eastAsia="Times New Roman" w:cstheme="minorHAnsi"/>
          <w:sz w:val="28"/>
          <w:szCs w:val="28"/>
          <w:lang w:eastAsia="en-GB"/>
        </w:rPr>
      </w:pPr>
      <w:r w:rsidRPr="000836C0">
        <w:rPr>
          <w:rFonts w:eastAsia="Times New Roman" w:cstheme="minorHAnsi"/>
          <w:sz w:val="28"/>
          <w:szCs w:val="28"/>
          <w:lang w:eastAsia="en-GB"/>
        </w:rPr>
        <w:t xml:space="preserve">Webpage: </w:t>
      </w:r>
      <w:hyperlink r:id="rId9" w:anchor="background" w:history="1">
        <w:r w:rsidRPr="00431BB1">
          <w:rPr>
            <w:rStyle w:val="Hyperlink"/>
            <w:rFonts w:eastAsia="Times New Roman" w:cstheme="minorHAnsi"/>
            <w:sz w:val="28"/>
            <w:szCs w:val="28"/>
            <w:lang w:eastAsia="en-GB"/>
          </w:rPr>
          <w:t>http://www.ncl.ac.uk/engineering/staff/profile/kameliaboodhoo.html#background</w:t>
        </w:r>
      </w:hyperlink>
      <w:r>
        <w:rPr>
          <w:rFonts w:eastAsia="Times New Roman" w:cstheme="minorHAnsi"/>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05A99278"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1"/>
            <w14:checkedState w14:val="2612" w14:font="MS Gothic"/>
            <w14:uncheckedState w14:val="2610" w14:font="MS Gothic"/>
          </w14:checkbox>
        </w:sdtPr>
        <w:sdtEndPr/>
        <w:sdtContent>
          <w:r w:rsidR="00A04131">
            <w:rPr>
              <w:rFonts w:ascii="MS Gothic" w:eastAsia="MS Gothic" w:hAnsi="MS Gothic" w:cs="Times New Roman" w:hint="eastAsia"/>
            </w:rPr>
            <w:t>☒</w:t>
          </w:r>
        </w:sdtContent>
      </w:sdt>
      <w:r w:rsidR="00B50688" w:rsidRPr="00B50688">
        <w:rPr>
          <w:rFonts w:ascii="Calibri" w:eastAsia="Calibri" w:hAnsi="Calibri" w:cs="Times New Roman"/>
        </w:rPr>
        <w:t xml:space="preserve"> biotechnology</w:t>
      </w:r>
    </w:p>
    <w:p w14:paraId="3B35AA1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D21996"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01578E72"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1"/>
            <w14:checkedState w14:val="2612" w14:font="MS Gothic"/>
            <w14:uncheckedState w14:val="2610" w14:font="MS Gothic"/>
          </w14:checkbox>
        </w:sdtPr>
        <w:sdtEndPr/>
        <w:sdtContent>
          <w:r w:rsidR="00A04131">
            <w:rPr>
              <w:rFonts w:ascii="MS Gothic" w:eastAsia="MS Gothic" w:hAnsi="MS Gothic" w:cs="Times New Roman" w:hint="eastAsia"/>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D21996"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D21996"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836C0"/>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825FC3"/>
    <w:rsid w:val="008C64F9"/>
    <w:rsid w:val="00987B99"/>
    <w:rsid w:val="00A04131"/>
    <w:rsid w:val="00A64EA6"/>
    <w:rsid w:val="00A77889"/>
    <w:rsid w:val="00A83877"/>
    <w:rsid w:val="00A93A23"/>
    <w:rsid w:val="00AC065B"/>
    <w:rsid w:val="00AD39E5"/>
    <w:rsid w:val="00B31BC1"/>
    <w:rsid w:val="00B50688"/>
    <w:rsid w:val="00BF4042"/>
    <w:rsid w:val="00D062A4"/>
    <w:rsid w:val="00D21996"/>
    <w:rsid w:val="00D42C93"/>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08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81618">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20348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lia.boodhoo@n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l.ac.uk/engineering/staff/profile/kameliaboodhoo.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455861"/>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db08b42-9f37-4cb9-bb3e-4d2d8b923c24"/>
    <ds:schemaRef ds:uri="http://www.w3.org/XML/1998/namespace"/>
  </ds:schemaRefs>
</ds:datastoreItem>
</file>

<file path=customXml/itemProps2.xml><?xml version="1.0" encoding="utf-8"?>
<ds:datastoreItem xmlns:ds="http://schemas.openxmlformats.org/officeDocument/2006/customXml" ds:itemID="{7121F0D1-BA0A-42DF-B143-BD82C8A39FBB}"/>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3</cp:revision>
  <dcterms:created xsi:type="dcterms:W3CDTF">2022-12-05T11:37:00Z</dcterms:created>
  <dcterms:modified xsi:type="dcterms:W3CDTF">2022-12-08T11:31:00Z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