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522817" w:rsidR="0024782F" w:rsidP="0068098D" w:rsidRDefault="0024782F" w14:paraId="2E253E9E" w14:textId="77777777">
      <w:pPr>
        <w:spacing w:after="0" w:line="240" w:lineRule="auto"/>
        <w:outlineLvl w:val="1"/>
        <w:rPr>
          <w:rFonts w:ascii="Helvetica" w:hAnsi="Helvetica" w:eastAsia="Times New Roman" w:cs="Helvetica"/>
          <w:sz w:val="30"/>
          <w:szCs w:val="30"/>
          <w:lang w:eastAsia="en-GB"/>
        </w:rPr>
      </w:pPr>
    </w:p>
    <w:p w:rsidRPr="00522817" w:rsidR="00711D23" w:rsidP="3B00D806" w:rsidRDefault="00522817" w14:paraId="35917403" w14:textId="7667F0EB">
      <w:pPr>
        <w:spacing w:after="0" w:line="240" w:lineRule="auto"/>
        <w:outlineLvl w:val="1"/>
        <w:rPr>
          <w:rFonts w:eastAsia="Times New Roman"/>
          <w:sz w:val="28"/>
          <w:szCs w:val="28"/>
          <w:lang w:eastAsia="en-GB"/>
        </w:rPr>
      </w:pPr>
      <w:r w:rsidRPr="3B00D806">
        <w:rPr>
          <w:rFonts w:eastAsia="Times New Roman"/>
          <w:color w:val="009AA6"/>
          <w:sz w:val="28"/>
          <w:szCs w:val="28"/>
          <w:lang w:eastAsia="en-GB"/>
        </w:rPr>
        <w:t>Project title:</w:t>
      </w:r>
      <w:r w:rsidRPr="3B00D806">
        <w:rPr>
          <w:rFonts w:eastAsia="Times New Roman"/>
          <w:sz w:val="28"/>
          <w:szCs w:val="28"/>
          <w:lang w:eastAsia="en-GB"/>
        </w:rPr>
        <w:t xml:space="preserve">  </w:t>
      </w:r>
      <w:r w:rsidRPr="3B00D806" w:rsidR="00E92177">
        <w:rPr>
          <w:rFonts w:eastAsia="Times New Roman"/>
          <w:sz w:val="28"/>
          <w:szCs w:val="28"/>
          <w:lang w:eastAsia="en-GB"/>
        </w:rPr>
        <w:t xml:space="preserve">Development of </w:t>
      </w:r>
      <w:proofErr w:type="spellStart"/>
      <w:r w:rsidRPr="3B00D806" w:rsidR="00E92177">
        <w:rPr>
          <w:rFonts w:eastAsia="Times New Roman"/>
          <w:sz w:val="28"/>
          <w:szCs w:val="28"/>
          <w:lang w:eastAsia="en-GB"/>
        </w:rPr>
        <w:t>bioinks</w:t>
      </w:r>
      <w:proofErr w:type="spellEnd"/>
      <w:r w:rsidRPr="3B00D806" w:rsidR="00E92177">
        <w:rPr>
          <w:rFonts w:eastAsia="Times New Roman"/>
          <w:sz w:val="28"/>
          <w:szCs w:val="28"/>
          <w:lang w:eastAsia="en-GB"/>
        </w:rPr>
        <w:t xml:space="preserve"> to </w:t>
      </w:r>
      <w:proofErr w:type="spellStart"/>
      <w:r w:rsidRPr="3B00D806" w:rsidR="00E92177">
        <w:rPr>
          <w:rFonts w:eastAsia="Times New Roman"/>
          <w:sz w:val="28"/>
          <w:szCs w:val="28"/>
          <w:lang w:eastAsia="en-GB"/>
        </w:rPr>
        <w:t>bioprinit</w:t>
      </w:r>
      <w:proofErr w:type="spellEnd"/>
      <w:r w:rsidRPr="3B00D806" w:rsidR="00E92177">
        <w:rPr>
          <w:rFonts w:eastAsia="Times New Roman"/>
          <w:sz w:val="28"/>
          <w:szCs w:val="28"/>
          <w:lang w:eastAsia="en-GB"/>
        </w:rPr>
        <w:t xml:space="preserve"> an </w:t>
      </w:r>
      <w:r w:rsidRPr="3B00D806" w:rsidR="00E92177">
        <w:rPr>
          <w:rFonts w:eastAsia="Times New Roman"/>
          <w:i/>
          <w:iCs/>
          <w:sz w:val="28"/>
          <w:szCs w:val="28"/>
          <w:lang w:eastAsia="en-GB"/>
        </w:rPr>
        <w:t xml:space="preserve">in vitro </w:t>
      </w:r>
      <w:r w:rsidRPr="3B00D806" w:rsidR="00E92177">
        <w:rPr>
          <w:rFonts w:eastAsia="Times New Roman"/>
          <w:sz w:val="28"/>
          <w:szCs w:val="28"/>
          <w:lang w:eastAsia="en-GB"/>
        </w:rPr>
        <w:t>model of the gut mucosa</w:t>
      </w:r>
    </w:p>
    <w:p w:rsidRPr="00522817" w:rsidR="00522817" w:rsidP="00711D23" w:rsidRDefault="00522817" w14:paraId="4E909FEE" w14:textId="77777777">
      <w:pPr>
        <w:spacing w:after="0" w:line="240" w:lineRule="auto"/>
        <w:outlineLvl w:val="1"/>
        <w:rPr>
          <w:rFonts w:eastAsia="Times New Roman" w:cstheme="minorHAnsi"/>
          <w:sz w:val="28"/>
          <w:szCs w:val="28"/>
          <w:lang w:eastAsia="en-GB"/>
        </w:rPr>
      </w:pPr>
    </w:p>
    <w:p w:rsidRPr="00522817" w:rsidR="00711D23" w:rsidP="65483F33" w:rsidRDefault="00711D23" w14:paraId="6667E46D" w14:textId="69269FBF">
      <w:pPr>
        <w:spacing w:after="0" w:line="240" w:lineRule="auto"/>
        <w:outlineLvl w:val="1"/>
        <w:rPr>
          <w:rFonts w:eastAsia="Times New Roman" w:cs="Calibri" w:cstheme="minorAscii"/>
          <w:i w:val="1"/>
          <w:iCs w:val="1"/>
          <w:sz w:val="28"/>
          <w:szCs w:val="28"/>
          <w:lang w:eastAsia="en-GB"/>
        </w:rPr>
      </w:pPr>
      <w:r w:rsidRPr="65483F33" w:rsidR="00711D23">
        <w:rPr>
          <w:rFonts w:eastAsia="Times New Roman" w:cs="Calibri" w:cstheme="minorAscii"/>
          <w:color w:val="009AA6"/>
          <w:sz w:val="28"/>
          <w:szCs w:val="28"/>
          <w:lang w:eastAsia="en-GB"/>
        </w:rPr>
        <w:t xml:space="preserve">Project ID </w:t>
      </w:r>
      <w:r w:rsidRPr="65483F33" w:rsidR="00711D23">
        <w:rPr>
          <w:rFonts w:eastAsia="Times New Roman" w:cs="Calibri" w:cstheme="minorAscii"/>
          <w:i w:val="1"/>
          <w:iCs w:val="1"/>
          <w:color w:val="009AA6"/>
          <w:sz w:val="28"/>
          <w:szCs w:val="28"/>
          <w:lang w:eastAsia="en-GB"/>
        </w:rPr>
        <w:t>(optional)</w:t>
      </w:r>
      <w:r w:rsidRPr="65483F33" w:rsidR="00522817">
        <w:rPr>
          <w:rFonts w:eastAsia="Times New Roman" w:cs="Calibri" w:cstheme="minorAscii"/>
          <w:color w:val="009AA6"/>
          <w:sz w:val="28"/>
          <w:szCs w:val="28"/>
          <w:lang w:eastAsia="en-GB"/>
        </w:rPr>
        <w:t>:</w:t>
      </w:r>
      <w:r w:rsidRPr="65483F33" w:rsidR="00522817">
        <w:rPr>
          <w:rFonts w:eastAsia="Times New Roman" w:cs="Calibri" w:cstheme="minorAscii"/>
          <w:sz w:val="28"/>
          <w:szCs w:val="28"/>
          <w:lang w:eastAsia="en-GB"/>
        </w:rPr>
        <w:t xml:space="preserve"> </w:t>
      </w:r>
    </w:p>
    <w:p w:rsidRPr="00522817" w:rsidR="00522817" w:rsidP="00711D23" w:rsidRDefault="00522817" w14:paraId="439F5966" w14:textId="77777777">
      <w:pPr>
        <w:spacing w:after="0" w:line="240" w:lineRule="auto"/>
        <w:outlineLvl w:val="1"/>
        <w:rPr>
          <w:rFonts w:eastAsia="Times New Roman" w:cstheme="minorHAnsi"/>
          <w:sz w:val="28"/>
          <w:szCs w:val="28"/>
          <w:lang w:eastAsia="en-GB"/>
        </w:rPr>
      </w:pPr>
    </w:p>
    <w:p w:rsidRPr="00522817" w:rsidR="00711D23" w:rsidP="00711D23" w:rsidRDefault="00522817" w14:paraId="1E195981" w14:textId="176CE407">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Pr="00522817" w:rsidR="00711D23">
        <w:rPr>
          <w:rFonts w:eastAsia="Times New Roman" w:cstheme="minorHAnsi"/>
          <w:color w:val="009AA6"/>
          <w:sz w:val="28"/>
          <w:szCs w:val="28"/>
          <w:lang w:eastAsia="en-GB"/>
        </w:rPr>
        <w:t>ccept all year-round applications</w:t>
      </w:r>
    </w:p>
    <w:p w:rsidRPr="00522817" w:rsidR="00522817" w:rsidP="0068098D" w:rsidRDefault="00522817" w14:paraId="333CB85F" w14:textId="77777777">
      <w:pPr>
        <w:spacing w:after="0" w:line="240" w:lineRule="auto"/>
        <w:outlineLvl w:val="1"/>
        <w:rPr>
          <w:rFonts w:eastAsia="Times New Roman" w:cstheme="minorHAnsi"/>
          <w:sz w:val="28"/>
          <w:szCs w:val="28"/>
          <w:lang w:eastAsia="en-GB"/>
        </w:rPr>
      </w:pPr>
    </w:p>
    <w:p w:rsidRPr="00522817" w:rsidR="00711D23" w:rsidP="0068098D" w:rsidRDefault="00711D23" w14:paraId="3D3E9D8A" w14:textId="63EDF1C6">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Pr="00522817" w:rsid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rsidRPr="00522817" w:rsidR="00522817" w:rsidP="0068098D" w:rsidRDefault="00522817" w14:paraId="4FCDE376" w14:textId="77777777">
      <w:pPr>
        <w:spacing w:after="0" w:line="240" w:lineRule="auto"/>
        <w:outlineLvl w:val="1"/>
        <w:rPr>
          <w:rFonts w:eastAsia="Times New Roman" w:cstheme="minorHAnsi"/>
          <w:sz w:val="28"/>
          <w:szCs w:val="28"/>
          <w:lang w:eastAsia="en-GB"/>
        </w:rPr>
      </w:pPr>
    </w:p>
    <w:p w:rsidRPr="00522817" w:rsidR="00E92177" w:rsidP="3B00D806" w:rsidRDefault="00711D23" w14:paraId="3F7CC5DB" w14:textId="0D746690">
      <w:pPr>
        <w:spacing w:after="0" w:line="240" w:lineRule="auto"/>
        <w:outlineLvl w:val="1"/>
        <w:rPr>
          <w:rFonts w:eastAsia="Times New Roman"/>
          <w:sz w:val="28"/>
          <w:szCs w:val="28"/>
          <w:lang w:eastAsia="en-GB"/>
        </w:rPr>
      </w:pPr>
      <w:r w:rsidRPr="3B00D806">
        <w:rPr>
          <w:rFonts w:eastAsia="Times New Roman"/>
          <w:color w:val="009AA6"/>
          <w:sz w:val="28"/>
          <w:szCs w:val="28"/>
          <w:lang w:eastAsia="en-GB"/>
        </w:rPr>
        <w:t>Project description</w:t>
      </w:r>
      <w:r w:rsidRPr="3B00D806" w:rsidR="00522817">
        <w:rPr>
          <w:rFonts w:eastAsia="Times New Roman"/>
          <w:color w:val="009AA6"/>
          <w:sz w:val="28"/>
          <w:szCs w:val="28"/>
          <w:lang w:eastAsia="en-GB"/>
        </w:rPr>
        <w:t>:</w:t>
      </w:r>
      <w:r w:rsidRPr="3B00D806" w:rsidR="00522817">
        <w:rPr>
          <w:rFonts w:eastAsia="Times New Roman"/>
          <w:sz w:val="28"/>
          <w:szCs w:val="28"/>
          <w:lang w:eastAsia="en-GB"/>
        </w:rPr>
        <w:t xml:space="preserve">  </w:t>
      </w:r>
      <w:r w:rsidR="00E92177">
        <w:t xml:space="preserve">This research aims to study the influence of inflammatory bowel disease (IBD) on the onset of ankylosis spondylarthritis (AS) through 3D </w:t>
      </w:r>
      <w:r w:rsidRPr="3B00D806" w:rsidR="00E92177">
        <w:rPr>
          <w:i/>
          <w:iCs/>
        </w:rPr>
        <w:t>in vitro</w:t>
      </w:r>
      <w:r w:rsidR="00E92177">
        <w:t xml:space="preserve"> modelling of the synovium and gut, in healthy and inflamed states, assessing changes in cell phenotypes and cytokine production. IBD is a chronic disorder of the gastrointestinal tract characterized by intestinal inflammation and epithelial injury often cause by bacterial infection. In the UK around 620k people are affected by it, translating in NHS costs of £1 billion per year</w:t>
      </w:r>
      <w:r w:rsidRPr="3B00D806">
        <w:rPr>
          <w:rFonts w:eastAsia="Times New Roman"/>
          <w:sz w:val="28"/>
          <w:szCs w:val="28"/>
          <w:lang w:eastAsia="en-GB"/>
        </w:rPr>
        <w:fldChar w:fldCharType="begin" w:fldLock="1"/>
      </w:r>
      <w:r w:rsidRPr="3B00D806">
        <w:rPr>
          <w:rFonts w:eastAsia="Times New Roman"/>
          <w:sz w:val="28"/>
          <w:szCs w:val="28"/>
          <w:lang w:eastAsia="en-GB"/>
        </w:rPr>
        <w:instrText>ADDIN CSL_CITATION {"citationItems":[{"id":"ITEM-1","itemData":{"DOI":"10.1136/rmdopen-2020-001558","ISSN":"20565933","PMID":"33863841","abstract":"Inflammatory bowel disease (IBD) associated arthritis is a subgroup of spondyloarthritis (SpA) that has suffered from lack of recognition in rheumatology clinical and research circles for over 100 years. Although clinically distinguishable from rheumatoid arthritis and ankylosing spondylitis, it took advances in detection systems in the middle of the last century (rheumatoid factor, HLA-B27) to convincingly make the final separations. We now know that significant numbers of patients with SpA have associated clinical IBD and almost half of them show subclinical gut inflammation, yet the connection between the gut and the musculoskeletal system has remained a vexing problem. Two publications from Nathan Zvaifler (one in 1960, the other in 1975) presciently described the relationship between the gut and the spine/peripheral joints heralding much of the work present today in laboratories around the world trying to examine basic mechanisms for the connections (there are likely to be many) between the gut, the environment (presumably our intestinal flora) and the downstream effect on the musculoskeletal system. The role of dysregulated microbiome along with microbiome-driven T helper 17 cell expansion and immune cell migration to the joints has been recognised, all of which occur in the appropriate context of genetic background inside and outside of the human leucocyte antigen system. Moreover, different adhesion molecules that mediate immune cells homing to the gut and joints have been noted. In this review, we studied the origins and evolution of IBD-arthritis, proposed pathogenic mechanisms and the current gaps that need to be filled for a complete understanding of IBD-arthritis.","author":[{"dropping-particle":"","family":"Ashrafi","given":"Maedeh","non-dropping-particle":"","parse-names":false,"suffix":""},{"dropping-particle":"","family":"Kuhn","given":"Kristine A.","non-dropping-particle":"","parse-names":false,"suffix":""},{"dropping-particle":"","family":"Weisman","given":"Michael H.","non-dropping-particle":"","parse-names":false,"suffix":""}],"container-title":"RMD Open","id":"ITEM-1","issue":"1","issued":{"date-parts":[["2021"]]},"page":"1-9","title":"The arthritis connection to inflammatory bowel disease (IBD): Why has it taken so long to understand it?","type":"article-journal","volume":"7"},"uris":["http://www.mendeley.com/documents/?uuid=4672be17-df79-4aab-9bae-6703411cc820"]},{"id":"ITEM-2","itemData":{"DOI":"10.21037/mps.2018.09.01","ISSN":"2616-275X","abstract":"Overwhelming scientific evidence today confirms that the gut microbiota is a central player in human health. Knowledge about interactions between human gut microbiota and human health has evolved rapidly in the last decade, based on experimental work involving analysis of human fecal samples or animal models (mainly rodents). A more detailed and cost-effective description of this interplay is now being enabled by the use of in vitro systems (i.e., gut-microbiota-on-chip systems) that recapitulate key aspects of the interaction between microbiota and human cells. Here, we review recent examples of the design and use of pioneering on-chip platforms for the study of the cross-talk between representative members of human microbiota and human microtissues. In these systems, the combined use of state-of-the-art microfluidics, biomaterials, cell culture techniques, classical microbiology, and a touch of genetic expression profiling have converged for the development of gut-on-chip platforms capable of recreating key features of the interplay between human microbiota and host human tissues. We foresee that the integration of novel microfabrication techniques and stem cell technologies will further accelerate the development of more complex and physiologically relevant microbiota-on-chip platforms. In turn, this will foster the faster acquisition of knowledge regarding human microbiota and will enable important advances in the understanding of how to control or prevent disease.","author":[{"dropping-particle":"","family":"Trujillo-de Santiago","given":"Grissel","non-dropping-particle":"","parse-names":false,"suffix":""},{"dropping-particle":"","family":"Lobo-Zegers","given":"Matías José","non-dropping-particle":"","parse-names":false,"suffix":""},{"dropping-particle":"","family":"Montes-Fonseca","given":"Silvia Lorena","non-dropping-particle":"","parse-names":false,"suffix":""},{"dropping-particle":"","family":"Zhang","given":"Yu Shrike","non-dropping-particle":"","parse-names":false,"suffix":""},{"dropping-particle":"","family":"Alvarez","given":"Mario Moisés","non-dropping-particle":"","parse-names":false,"suffix":""}],"container-title":"Microphysiological systems","edition":"2018/10/16","id":"ITEM-2","issued":{"date-parts":[["2018","10"]]},"language":"eng","page":"7","publisher-place":"China","title":"Gut-microbiota-on-a-chip: an enabling field for physiological research","type":"article-journal","volume":"2"},"uris":["http://www.mendeley.com/documents/?uuid=3e6023f2-476e-45f0-8772-b508f6496969"]},{"id":"ITEM-3","itemData":{"DOI":"10.1038/nri3661","ISSN":"14741741","PMID":"24751956","abstract":"Cytokines have a crucial role in the pathogenesis of inflammatory bowel diseases (IBDs), such as Crohn's disease and ulcerative colitis, where they control multiple aspects of the inflammatory response. In particular, the imbalance between pro-inflammatory and anti-inflammatory cytokines that occurs in IBD impedes the resolution of inflammation and instead leads to disease perpetuation and tissue destruction. Recent studies suggest the existence of a network of regulatory cytokines that has important implications for disease progression. In this Review, we discuss the role of cytokines produced by innate and adaptive immune cells, as well as their relevance to the future therapy of IBD. © 2014 Macmillan Publishers Limited. All rights reserved.","author":[{"dropping-particle":"","family":"Neurath","given":"Markus F.","non-dropping-particle":"","parse-names":false,"suffix":""}],"container-title":"Nature Reviews Immunology","id":"ITEM-3","issue":"5","issued":{"date-parts":[["2014"]]},"page":"329-342","publisher":"Nature Publishing Group","title":"Cytokines in inflammatory bowel disease","type":"article-journal","volume":"14"},"uris":["http://www.mendeley.com/documents/?uuid=e88b56b9-e2f3-466a-82e1-30b0e97a563e"]}],"mendeley":{"formattedCitation":"&lt;sup&gt;1–3&lt;/sup&gt;","plainTextFormattedCitation":"1–3","previouslyFormattedCitation":"&lt;sup&gt;1–3&lt;/sup&gt;"},"properties":{"noteIndex":0},"schema":"https://github.com/citation-style-language/schema/raw/master/csl-citation.json"}</w:instrText>
      </w:r>
      <w:r w:rsidRPr="3B00D806">
        <w:rPr>
          <w:rFonts w:eastAsia="Times New Roman"/>
          <w:sz w:val="28"/>
          <w:szCs w:val="28"/>
          <w:lang w:eastAsia="en-GB"/>
        </w:rPr>
        <w:fldChar w:fldCharType="separate"/>
      </w:r>
      <w:r w:rsidRPr="3B00D806" w:rsidR="00E92177">
        <w:rPr>
          <w:rFonts w:eastAsia="Times New Roman"/>
          <w:noProof/>
          <w:sz w:val="28"/>
          <w:szCs w:val="28"/>
          <w:vertAlign w:val="superscript"/>
          <w:lang w:eastAsia="en-GB"/>
        </w:rPr>
        <w:t>1–3</w:t>
      </w:r>
      <w:r w:rsidRPr="3B00D806">
        <w:rPr>
          <w:rFonts w:eastAsia="Times New Roman"/>
          <w:sz w:val="28"/>
          <w:szCs w:val="28"/>
          <w:lang w:eastAsia="en-GB"/>
        </w:rPr>
        <w:fldChar w:fldCharType="end"/>
      </w:r>
    </w:p>
    <w:p w:rsidRPr="00522817" w:rsidR="00711D23" w:rsidP="00E92177" w:rsidRDefault="00E92177" w14:paraId="02C384BA" w14:textId="30BF2ED6">
      <w:pPr>
        <w:spacing w:line="252" w:lineRule="auto"/>
        <w:contextualSpacing/>
        <w:jc w:val="both"/>
        <w:rPr>
          <w:rFonts w:eastAsia="Times New Roman" w:cstheme="minorHAnsi"/>
          <w:sz w:val="28"/>
          <w:szCs w:val="28"/>
          <w:lang w:eastAsia="en-GB"/>
        </w:rPr>
      </w:pPr>
      <w:r>
        <w:t>. Clinically, up to 35% of patients with IBD display musculoskeletal disorders such as axial and peripheral arthritis syndrome, inferring that these two pathologies are connected. To study how the gut reacts to bacteria (indirect and direct) a 3D model of the gut mucosa will be created using bioprinting and novel biomaterials. This gut model will be subjected to inflammatory stimulus provoked by direct exposure to bacteria metabolites and inflammatory cytokines produced by the immune cells in the host. This is key to study the exchange of biological factors and the permeability of the finalised system and ensure the model functions as the normal gut.</w:t>
      </w:r>
    </w:p>
    <w:p w:rsidR="3B00D806" w:rsidP="3B00D806" w:rsidRDefault="3B00D806" w14:paraId="33DF1B22" w14:textId="3E3BB844">
      <w:pPr>
        <w:spacing w:line="252" w:lineRule="auto"/>
        <w:contextualSpacing/>
        <w:jc w:val="both"/>
      </w:pPr>
    </w:p>
    <w:p w:rsidR="6E5C97FC" w:rsidP="3B00D806" w:rsidRDefault="6E5C97FC" w14:paraId="38C0F3AE" w14:textId="03DB89A6">
      <w:pPr>
        <w:spacing w:after="0" w:line="240" w:lineRule="auto"/>
        <w:rPr>
          <w:rFonts w:ascii="Calibri" w:hAnsi="Calibri" w:eastAsia="Calibri" w:cs="Calibri"/>
        </w:rPr>
      </w:pPr>
      <w:r w:rsidRPr="3B00D806">
        <w:rPr>
          <w:rFonts w:ascii="Derailed" w:hAnsi="Derailed" w:eastAsia="Derailed" w:cs="Derailed"/>
          <w:i/>
          <w:iCs/>
          <w:color w:val="000000" w:themeColor="text1"/>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3B00D806" w:rsidP="3B00D806" w:rsidRDefault="3B00D806" w14:paraId="1A70D437" w14:textId="4366696A">
      <w:pPr>
        <w:spacing w:line="252" w:lineRule="auto"/>
        <w:contextualSpacing/>
        <w:jc w:val="both"/>
      </w:pPr>
    </w:p>
    <w:p w:rsidRPr="00522817" w:rsidR="00711D23" w:rsidP="0068098D" w:rsidRDefault="00711D23" w14:paraId="2A79978F" w14:textId="289C08C6">
      <w:pPr>
        <w:spacing w:after="0" w:line="240" w:lineRule="auto"/>
        <w:outlineLvl w:val="1"/>
        <w:rPr>
          <w:rFonts w:eastAsia="Times New Roman" w:cstheme="minorHAnsi"/>
          <w:sz w:val="28"/>
          <w:szCs w:val="28"/>
          <w:lang w:eastAsia="en-GB"/>
        </w:rPr>
      </w:pPr>
    </w:p>
    <w:p w:rsidRPr="00522817" w:rsidR="00522817" w:rsidP="0068098D" w:rsidRDefault="00522817" w14:paraId="050964C8" w14:textId="77777777">
      <w:pPr>
        <w:spacing w:after="0" w:line="240" w:lineRule="auto"/>
        <w:outlineLvl w:val="1"/>
        <w:rPr>
          <w:rFonts w:eastAsia="Times New Roman" w:cstheme="minorHAnsi"/>
          <w:sz w:val="28"/>
          <w:szCs w:val="28"/>
          <w:lang w:eastAsia="en-GB"/>
        </w:rPr>
      </w:pPr>
    </w:p>
    <w:p w:rsidR="00711D23" w:rsidP="3B00D806" w:rsidRDefault="00711D23" w14:paraId="51A02DA3" w14:textId="3F500BE5">
      <w:pPr>
        <w:spacing w:after="0" w:line="240" w:lineRule="auto"/>
        <w:outlineLvl w:val="1"/>
        <w:rPr>
          <w:rFonts w:eastAsia="Times New Roman"/>
          <w:sz w:val="28"/>
          <w:szCs w:val="28"/>
          <w:lang w:eastAsia="en-GB"/>
        </w:rPr>
      </w:pPr>
      <w:r w:rsidRPr="3B00D806">
        <w:rPr>
          <w:rFonts w:eastAsia="Times New Roman"/>
          <w:color w:val="009AA6"/>
          <w:sz w:val="28"/>
          <w:szCs w:val="28"/>
          <w:lang w:eastAsia="en-GB"/>
        </w:rPr>
        <w:t>References (optional)</w:t>
      </w:r>
      <w:r w:rsidRPr="3B00D806" w:rsidR="00522817">
        <w:rPr>
          <w:rFonts w:eastAsia="Times New Roman"/>
          <w:color w:val="009AA6"/>
          <w:sz w:val="28"/>
          <w:szCs w:val="28"/>
          <w:lang w:eastAsia="en-GB"/>
        </w:rPr>
        <w:t>:</w:t>
      </w:r>
      <w:r w:rsidRPr="3B00D806" w:rsidR="00522817">
        <w:rPr>
          <w:rFonts w:eastAsia="Times New Roman"/>
          <w:sz w:val="28"/>
          <w:szCs w:val="28"/>
          <w:lang w:eastAsia="en-GB"/>
        </w:rPr>
        <w:t xml:space="preserve">  </w:t>
      </w:r>
    </w:p>
    <w:p w:rsidRPr="00E92177" w:rsidR="00E92177" w:rsidP="00E92177" w:rsidRDefault="00E92177" w14:paraId="4C53763A" w14:textId="15A2793C">
      <w:pPr>
        <w:widowControl w:val="0"/>
        <w:autoSpaceDE w:val="0"/>
        <w:autoSpaceDN w:val="0"/>
        <w:adjustRightInd w:val="0"/>
        <w:spacing w:after="0" w:line="240" w:lineRule="auto"/>
        <w:ind w:left="640" w:hanging="640"/>
        <w:rPr>
          <w:rFonts w:ascii="Calibri" w:hAnsi="Calibri" w:cs="Calibri"/>
          <w:noProof/>
          <w:szCs w:val="20"/>
        </w:rPr>
      </w:pPr>
      <w:r w:rsidRPr="00E92177">
        <w:rPr>
          <w:rFonts w:eastAsia="Times New Roman" w:cstheme="minorHAnsi"/>
          <w:lang w:eastAsia="en-GB"/>
        </w:rPr>
        <w:fldChar w:fldCharType="begin" w:fldLock="1"/>
      </w:r>
      <w:r w:rsidRPr="00E92177">
        <w:rPr>
          <w:rFonts w:eastAsia="Times New Roman" w:cstheme="minorHAnsi"/>
          <w:lang w:eastAsia="en-GB"/>
        </w:rPr>
        <w:instrText xml:space="preserve">ADDIN Mendeley Bibliography CSL_BIBLIOGRAPHY </w:instrText>
      </w:r>
      <w:r w:rsidRPr="00E92177">
        <w:rPr>
          <w:rFonts w:eastAsia="Times New Roman" w:cstheme="minorHAnsi"/>
          <w:lang w:eastAsia="en-GB"/>
        </w:rPr>
        <w:fldChar w:fldCharType="separate"/>
      </w:r>
      <w:r w:rsidRPr="00E92177">
        <w:rPr>
          <w:rFonts w:ascii="Calibri" w:hAnsi="Calibri" w:cs="Calibri"/>
          <w:noProof/>
          <w:szCs w:val="20"/>
        </w:rPr>
        <w:t>1.</w:t>
      </w:r>
      <w:r w:rsidRPr="00E92177">
        <w:rPr>
          <w:rFonts w:ascii="Calibri" w:hAnsi="Calibri" w:cs="Calibri"/>
          <w:noProof/>
          <w:szCs w:val="20"/>
        </w:rPr>
        <w:tab/>
      </w:r>
      <w:r w:rsidRPr="00E92177">
        <w:rPr>
          <w:rFonts w:ascii="Calibri" w:hAnsi="Calibri" w:cs="Calibri"/>
          <w:noProof/>
          <w:szCs w:val="20"/>
        </w:rPr>
        <w:t xml:space="preserve">Ashrafi, M., Kuhn, K. A. &amp; Weisman, M. H. The arthritis connection to inflammatory bowel disease (IBD): Why has it taken so long to understand it? </w:t>
      </w:r>
      <w:r w:rsidRPr="00E92177">
        <w:rPr>
          <w:rFonts w:ascii="Calibri" w:hAnsi="Calibri" w:cs="Calibri"/>
          <w:i/>
          <w:iCs/>
          <w:noProof/>
          <w:szCs w:val="20"/>
        </w:rPr>
        <w:t>RMD Open</w:t>
      </w:r>
      <w:r w:rsidRPr="00E92177">
        <w:rPr>
          <w:rFonts w:ascii="Calibri" w:hAnsi="Calibri" w:cs="Calibri"/>
          <w:noProof/>
          <w:szCs w:val="20"/>
        </w:rPr>
        <w:t xml:space="preserve"> </w:t>
      </w:r>
      <w:r w:rsidRPr="00E92177">
        <w:rPr>
          <w:rFonts w:ascii="Calibri" w:hAnsi="Calibri" w:cs="Calibri"/>
          <w:b/>
          <w:bCs/>
          <w:noProof/>
          <w:szCs w:val="20"/>
        </w:rPr>
        <w:t>7</w:t>
      </w:r>
      <w:r w:rsidRPr="00E92177">
        <w:rPr>
          <w:rFonts w:ascii="Calibri" w:hAnsi="Calibri" w:cs="Calibri"/>
          <w:noProof/>
          <w:szCs w:val="20"/>
        </w:rPr>
        <w:t>, 1–9 (2021).</w:t>
      </w:r>
    </w:p>
    <w:p w:rsidRPr="00E92177" w:rsidR="00E92177" w:rsidP="00E92177" w:rsidRDefault="00E92177" w14:paraId="38EB7307" w14:textId="77777777">
      <w:pPr>
        <w:widowControl w:val="0"/>
        <w:autoSpaceDE w:val="0"/>
        <w:autoSpaceDN w:val="0"/>
        <w:adjustRightInd w:val="0"/>
        <w:spacing w:after="0" w:line="240" w:lineRule="auto"/>
        <w:ind w:left="640" w:hanging="640"/>
        <w:rPr>
          <w:rFonts w:ascii="Calibri" w:hAnsi="Calibri" w:cs="Calibri"/>
          <w:noProof/>
          <w:szCs w:val="20"/>
        </w:rPr>
      </w:pPr>
      <w:r w:rsidRPr="00E92177">
        <w:rPr>
          <w:rFonts w:ascii="Calibri" w:hAnsi="Calibri" w:cs="Calibri"/>
          <w:noProof/>
          <w:szCs w:val="20"/>
        </w:rPr>
        <w:t>2.</w:t>
      </w:r>
      <w:r w:rsidRPr="00E92177">
        <w:rPr>
          <w:rFonts w:ascii="Calibri" w:hAnsi="Calibri" w:cs="Calibri"/>
          <w:noProof/>
          <w:szCs w:val="20"/>
        </w:rPr>
        <w:tab/>
      </w:r>
      <w:r w:rsidRPr="00E92177">
        <w:rPr>
          <w:rFonts w:ascii="Calibri" w:hAnsi="Calibri" w:cs="Calibri"/>
          <w:noProof/>
          <w:szCs w:val="20"/>
        </w:rPr>
        <w:t xml:space="preserve">Trujillo-de Santiago, G., Lobo-Zegers, M. J., Montes-Fonseca, S. L., Zhang, Y. S. &amp; Alvarez, M. M. Gut-microbiota-on-a-chip: an enabling field for physiological research. </w:t>
      </w:r>
      <w:r w:rsidRPr="00E92177">
        <w:rPr>
          <w:rFonts w:ascii="Calibri" w:hAnsi="Calibri" w:cs="Calibri"/>
          <w:i/>
          <w:iCs/>
          <w:noProof/>
          <w:szCs w:val="20"/>
        </w:rPr>
        <w:t>Microphysiological Syst.</w:t>
      </w:r>
      <w:r w:rsidRPr="00E92177">
        <w:rPr>
          <w:rFonts w:ascii="Calibri" w:hAnsi="Calibri" w:cs="Calibri"/>
          <w:noProof/>
          <w:szCs w:val="20"/>
        </w:rPr>
        <w:t xml:space="preserve"> </w:t>
      </w:r>
      <w:r w:rsidRPr="00E92177">
        <w:rPr>
          <w:rFonts w:ascii="Calibri" w:hAnsi="Calibri" w:cs="Calibri"/>
          <w:b/>
          <w:bCs/>
          <w:noProof/>
          <w:szCs w:val="20"/>
        </w:rPr>
        <w:t>2</w:t>
      </w:r>
      <w:r w:rsidRPr="00E92177">
        <w:rPr>
          <w:rFonts w:ascii="Calibri" w:hAnsi="Calibri" w:cs="Calibri"/>
          <w:noProof/>
          <w:szCs w:val="20"/>
        </w:rPr>
        <w:t>, 7 (2018).</w:t>
      </w:r>
    </w:p>
    <w:p w:rsidRPr="00E92177" w:rsidR="00E92177" w:rsidP="00E92177" w:rsidRDefault="00E92177" w14:paraId="3BA892DC" w14:textId="77777777">
      <w:pPr>
        <w:widowControl w:val="0"/>
        <w:autoSpaceDE w:val="0"/>
        <w:autoSpaceDN w:val="0"/>
        <w:adjustRightInd w:val="0"/>
        <w:spacing w:after="0" w:line="240" w:lineRule="auto"/>
        <w:ind w:left="640" w:hanging="640"/>
        <w:rPr>
          <w:rFonts w:ascii="Calibri" w:hAnsi="Calibri" w:cs="Calibri"/>
          <w:noProof/>
          <w:szCs w:val="18"/>
        </w:rPr>
      </w:pPr>
      <w:r w:rsidRPr="00E92177">
        <w:rPr>
          <w:rFonts w:ascii="Calibri" w:hAnsi="Calibri" w:cs="Calibri"/>
          <w:noProof/>
          <w:szCs w:val="20"/>
        </w:rPr>
        <w:t>3.</w:t>
      </w:r>
      <w:r w:rsidRPr="00E92177">
        <w:rPr>
          <w:rFonts w:ascii="Calibri" w:hAnsi="Calibri" w:cs="Calibri"/>
          <w:noProof/>
          <w:szCs w:val="20"/>
        </w:rPr>
        <w:tab/>
      </w:r>
      <w:r w:rsidRPr="00E92177">
        <w:rPr>
          <w:rFonts w:ascii="Calibri" w:hAnsi="Calibri" w:cs="Calibri"/>
          <w:noProof/>
          <w:szCs w:val="20"/>
        </w:rPr>
        <w:t xml:space="preserve">Neurath, M. F. Cytokines in inflammatory bowel disease. </w:t>
      </w:r>
      <w:r w:rsidRPr="00E92177">
        <w:rPr>
          <w:rFonts w:ascii="Calibri" w:hAnsi="Calibri" w:cs="Calibri"/>
          <w:i/>
          <w:iCs/>
          <w:noProof/>
          <w:szCs w:val="20"/>
        </w:rPr>
        <w:t>Nat. Rev. Immunol.</w:t>
      </w:r>
      <w:r w:rsidRPr="00E92177">
        <w:rPr>
          <w:rFonts w:ascii="Calibri" w:hAnsi="Calibri" w:cs="Calibri"/>
          <w:noProof/>
          <w:szCs w:val="20"/>
        </w:rPr>
        <w:t xml:space="preserve"> </w:t>
      </w:r>
      <w:r w:rsidRPr="00E92177">
        <w:rPr>
          <w:rFonts w:ascii="Calibri" w:hAnsi="Calibri" w:cs="Calibri"/>
          <w:b/>
          <w:bCs/>
          <w:noProof/>
          <w:szCs w:val="20"/>
        </w:rPr>
        <w:t>14</w:t>
      </w:r>
      <w:r w:rsidRPr="00E92177">
        <w:rPr>
          <w:rFonts w:ascii="Calibri" w:hAnsi="Calibri" w:cs="Calibri"/>
          <w:noProof/>
          <w:szCs w:val="20"/>
        </w:rPr>
        <w:t>, 329–342 (2014).</w:t>
      </w:r>
    </w:p>
    <w:p w:rsidRPr="00522817" w:rsidR="00711D23" w:rsidP="0068098D" w:rsidRDefault="00E92177" w14:paraId="18A694BA" w14:textId="382C46BC">
      <w:pPr>
        <w:spacing w:after="0" w:line="240" w:lineRule="auto"/>
        <w:outlineLvl w:val="1"/>
        <w:rPr>
          <w:rFonts w:eastAsia="Times New Roman" w:cstheme="minorHAnsi"/>
          <w:sz w:val="28"/>
          <w:szCs w:val="28"/>
          <w:lang w:eastAsia="en-GB"/>
        </w:rPr>
      </w:pPr>
      <w:r w:rsidRPr="00E92177">
        <w:rPr>
          <w:rFonts w:eastAsia="Times New Roman" w:cstheme="minorHAnsi"/>
          <w:lang w:eastAsia="en-GB"/>
        </w:rPr>
        <w:fldChar w:fldCharType="end"/>
      </w:r>
    </w:p>
    <w:p w:rsidRPr="00522817" w:rsidR="00522817" w:rsidP="0068098D" w:rsidRDefault="00522817" w14:paraId="4E3F8AAB" w14:textId="77777777">
      <w:pPr>
        <w:spacing w:after="0" w:line="240" w:lineRule="auto"/>
        <w:outlineLvl w:val="1"/>
        <w:rPr>
          <w:rFonts w:eastAsia="Times New Roman" w:cstheme="minorHAnsi"/>
          <w:sz w:val="28"/>
          <w:szCs w:val="28"/>
          <w:lang w:eastAsia="en-GB"/>
        </w:rPr>
      </w:pPr>
    </w:p>
    <w:p w:rsidRPr="00522817" w:rsidR="00711D23" w:rsidP="3B00D806" w:rsidRDefault="00711D23" w14:paraId="2A78F7D1" w14:textId="529A4A0C">
      <w:pPr>
        <w:spacing w:after="0" w:line="240" w:lineRule="auto"/>
        <w:outlineLvl w:val="1"/>
        <w:rPr>
          <w:rFonts w:eastAsia="Times New Roman"/>
          <w:i/>
          <w:iCs/>
          <w:sz w:val="28"/>
          <w:szCs w:val="28"/>
          <w:lang w:eastAsia="en-GB"/>
        </w:rPr>
      </w:pPr>
      <w:r w:rsidRPr="3B00D806">
        <w:rPr>
          <w:rFonts w:eastAsia="Times New Roman"/>
          <w:color w:val="009AA6"/>
          <w:sz w:val="28"/>
          <w:szCs w:val="28"/>
          <w:lang w:eastAsia="en-GB"/>
        </w:rPr>
        <w:t>Application enquires</w:t>
      </w:r>
      <w:r w:rsidRPr="3B00D806" w:rsidR="00522817">
        <w:rPr>
          <w:rFonts w:eastAsia="Times New Roman"/>
          <w:color w:val="009AA6"/>
          <w:sz w:val="28"/>
          <w:szCs w:val="28"/>
          <w:lang w:eastAsia="en-GB"/>
        </w:rPr>
        <w:t>:</w:t>
      </w:r>
      <w:r w:rsidRPr="3B00D806" w:rsidR="00522817">
        <w:rPr>
          <w:rFonts w:eastAsia="Times New Roman"/>
          <w:sz w:val="28"/>
          <w:szCs w:val="28"/>
          <w:lang w:eastAsia="en-GB"/>
        </w:rPr>
        <w:t xml:space="preserve">  </w:t>
      </w:r>
      <w:hyperlink r:id="rId9">
        <w:r w:rsidRPr="3B00D806" w:rsidR="00E92177">
          <w:rPr>
            <w:rStyle w:val="Hyperlink"/>
            <w:rFonts w:eastAsia="Times New Roman"/>
            <w:sz w:val="28"/>
            <w:szCs w:val="28"/>
            <w:lang w:eastAsia="en-GB"/>
          </w:rPr>
          <w:t>Dr. Priscila Melo</w:t>
        </w:r>
      </w:hyperlink>
      <w:r w:rsidRPr="3B00D806">
        <w:rPr>
          <w:rFonts w:eastAsia="Times New Roman"/>
          <w:i/>
          <w:iCs/>
          <w:sz w:val="28"/>
          <w:szCs w:val="28"/>
          <w:lang w:eastAsia="en-GB"/>
        </w:rPr>
        <w:t xml:space="preserve"> </w:t>
      </w:r>
      <w:hyperlink r:id="rId10">
        <w:r w:rsidRPr="3B00D806" w:rsidR="00E92177">
          <w:rPr>
            <w:rStyle w:val="Hyperlink"/>
            <w:rFonts w:eastAsia="Times New Roman"/>
            <w:i/>
            <w:iCs/>
            <w:sz w:val="28"/>
            <w:szCs w:val="28"/>
            <w:lang w:eastAsia="en-GB"/>
          </w:rPr>
          <w:t>https://www.ncl.ac.uk/engineering/staff/profile/priscilamelo.html</w:t>
        </w:r>
      </w:hyperlink>
      <w:r w:rsidRPr="3B00D806" w:rsidR="00E92177">
        <w:rPr>
          <w:rFonts w:eastAsia="Times New Roman"/>
          <w:i/>
          <w:iCs/>
          <w:sz w:val="28"/>
          <w:szCs w:val="28"/>
          <w:lang w:eastAsia="en-GB"/>
        </w:rPr>
        <w:t xml:space="preserve"> </w:t>
      </w:r>
    </w:p>
    <w:p w:rsidRPr="00522817" w:rsidR="00A83877" w:rsidP="0068098D" w:rsidRDefault="00A83877" w14:paraId="44EAFD9C" w14:textId="77777777">
      <w:pPr>
        <w:spacing w:after="0" w:line="240" w:lineRule="auto"/>
        <w:outlineLvl w:val="1"/>
        <w:rPr>
          <w:rFonts w:eastAsia="Times New Roman" w:cstheme="minorHAnsi"/>
          <w:sz w:val="28"/>
          <w:szCs w:val="28"/>
          <w:lang w:eastAsia="en-GB"/>
        </w:rPr>
      </w:pPr>
    </w:p>
    <w:p w:rsidRPr="00522817" w:rsidR="0068098D" w:rsidP="0068098D" w:rsidRDefault="0068098D" w14:paraId="4B94D5A5" w14:textId="09C62098">
      <w:pPr>
        <w:spacing w:after="0" w:line="240" w:lineRule="auto"/>
        <w:outlineLvl w:val="1"/>
        <w:rPr>
          <w:rFonts w:eastAsia="Times New Roman" w:cstheme="minorHAnsi"/>
          <w:sz w:val="28"/>
          <w:szCs w:val="28"/>
          <w:lang w:eastAsia="en-GB"/>
        </w:rPr>
      </w:pP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3B00D806" w:rsidRDefault="00382254" w14:paraId="6537F28F" w14:textId="4C3371D5">
      <w:pPr>
        <w:jc w:val="center"/>
        <w:rPr>
          <w:b/>
          <w:bCs/>
        </w:rPr>
        <w:sectPr w:rsidRPr="00522817" w:rsidR="00B50688" w:rsidSect="0024782F">
          <w:type w:val="continuous"/>
          <w:pgSz w:w="11906" w:h="16838" w:orient="portrait"/>
          <w:pgMar w:top="851" w:right="794" w:bottom="794" w:left="851" w:header="709" w:footer="709" w:gutter="0"/>
          <w:cols w:space="708"/>
          <w:docGrid w:linePitch="360"/>
        </w:sectPr>
      </w:pPr>
      <w:r w:rsidRPr="3B00D806">
        <w:rPr>
          <w:b/>
          <w:bCs/>
        </w:rPr>
        <w:t xml:space="preserve">We will also need to link your </w:t>
      </w:r>
      <w:r w:rsidRPr="3B00D806" w:rsidR="00825FC3">
        <w:rPr>
          <w:b/>
          <w:bCs/>
        </w:rPr>
        <w:t>PhD</w:t>
      </w:r>
      <w:r w:rsidRPr="3B00D806">
        <w:rPr>
          <w:b/>
          <w:bCs/>
        </w:rPr>
        <w:t xml:space="preserve"> advert up to the subject keywords below so that your PhD studentship can be found on findaphd.com. </w:t>
      </w:r>
      <w:r w:rsidRPr="3B00D806" w:rsidR="00522817">
        <w:rPr>
          <w:b/>
          <w:bCs/>
        </w:rPr>
        <w:t xml:space="preserve"> </w:t>
      </w:r>
      <w:r w:rsidRPr="3B00D806">
        <w:rPr>
          <w:b/>
          <w:bCs/>
          <w:u w:val="single"/>
        </w:rPr>
        <w:t xml:space="preserve">Please </w:t>
      </w:r>
      <w:r w:rsidRPr="3B00D806">
        <w:rPr>
          <w:b/>
          <w:bCs/>
          <w:highlight w:val="green"/>
          <w:u w:val="single"/>
        </w:rPr>
        <w:t>highlight</w:t>
      </w:r>
      <w:r w:rsidRPr="3B00D806">
        <w:rPr>
          <w:b/>
          <w:bCs/>
          <w:u w:val="single"/>
        </w:rPr>
        <w:t xml:space="preserve"> </w:t>
      </w:r>
      <w:r w:rsidRPr="3B00D806" w:rsidR="00522817">
        <w:rPr>
          <w:b/>
          <w:bCs/>
          <w:u w:val="single"/>
        </w:rPr>
        <w:t xml:space="preserve">up to three </w:t>
      </w:r>
      <w:r w:rsidRPr="3B00D806">
        <w:rPr>
          <w:b/>
          <w:bCs/>
          <w:u w:val="single"/>
        </w:rPr>
        <w:t>relevant keywords</w:t>
      </w:r>
      <w:r w:rsidRPr="3B00D806">
        <w:rPr>
          <w:b/>
          <w:bCs/>
        </w:rPr>
        <w:t xml:space="preserve"> from the lists provided below</w:t>
      </w:r>
      <w:r w:rsidRPr="3B00D806" w:rsidR="0024782F">
        <w:rPr>
          <w:b/>
          <w:bCs/>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DB1F0A"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DB1F0A"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DB1F0A"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DB1F0A"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DB1F0A"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DB1F0A"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DB1F0A"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DB1F0A"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DB1F0A"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DB1F0A"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DB1F0A"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DB1F0A"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DB1F0A"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DB1F0A"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DB1F0A"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DB1F0A"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DB1F0A"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DB1F0A" w14:paraId="192FD243" w14:textId="50D3F8CD">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Content>
          <w:r w:rsidR="00E16BEA">
            <w:rPr>
              <w:rFonts w:hint="eastAsia" w:ascii="MS Gothic" w:hAnsi="MS Gothic" w:eastAsia="MS Gothic" w:cs="Times New Roman"/>
            </w:rPr>
            <w:t>☐</w:t>
          </w:r>
        </w:sdtContent>
      </w:sdt>
      <w:r w:rsidRPr="00B50688" w:rsidR="00B50688">
        <w:rPr>
          <w:rFonts w:ascii="Calibri" w:hAnsi="Calibri" w:eastAsia="Calibri" w:cs="Times New Roman"/>
        </w:rPr>
        <w:t xml:space="preserve"> bacteriology</w:t>
      </w:r>
    </w:p>
    <w:p w:rsidRPr="00B50688" w:rsidR="00B50688" w:rsidP="00B50688" w:rsidRDefault="00DB1F0A"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DB1F0A"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DB1F0A"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DB1F0A"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DB1F0A"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DB1F0A"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DB1F0A"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DB1F0A" w:rsidR="00B50688" w:rsidP="3B00D806" w:rsidRDefault="00DB1F0A" w14:paraId="1AFFEA29" w14:textId="6C91E294">
      <w:pPr>
        <w:spacing w:after="0" w:line="259" w:lineRule="auto"/>
        <w:rPr>
          <w:rFonts w:ascii="Calibri" w:hAnsi="Calibri" w:eastAsia="Calibri" w:cs="Times New Roman"/>
          <w:highlight w:val="yellow"/>
        </w:rPr>
      </w:pPr>
      <w:sdt>
        <w:sdtPr>
          <w:rPr>
            <w:rFonts w:ascii="Calibri" w:hAnsi="Calibri" w:eastAsia="Calibri" w:cs="Times New Roman"/>
            <w:highlight w:val="yellow"/>
          </w:rPr>
          <w:id w:val="309532803"/>
          <w:placeholder>
            <w:docPart w:val="DefaultPlaceholder_1081868574"/>
          </w:placeholder>
          <w14:checkbox>
            <w14:checked w14:val="1"/>
            <w14:checkedState w14:val="2612" w14:font="MS Gothic"/>
            <w14:uncheckedState w14:val="2610" w14:font="MS Gothic"/>
          </w14:checkbox>
        </w:sdtPr>
        <w:sdtContent>
          <w:r w:rsidRPr="00DB1F0A" w:rsidR="00E16BEA">
            <w:rPr>
              <w:rFonts w:ascii="MS Gothic" w:hAnsi="MS Gothic" w:eastAsia="MS Gothic" w:cs="Times New Roman"/>
              <w:highlight w:val="yellow"/>
            </w:rPr>
            <w:t>☒</w:t>
          </w:r>
        </w:sdtContent>
      </w:sdt>
      <w:r w:rsidRPr="00DB1F0A" w:rsidR="00B50688">
        <w:rPr>
          <w:rFonts w:ascii="Calibri" w:hAnsi="Calibri" w:eastAsia="Calibri" w:cs="Times New Roman"/>
          <w:highlight w:val="yellow"/>
        </w:rPr>
        <w:t xml:space="preserve"> cell biology</w:t>
      </w:r>
    </w:p>
    <w:p w:rsidRPr="00B50688" w:rsidR="00B50688" w:rsidP="00B50688" w:rsidRDefault="00DB1F0A"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DB1F0A"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DB1F0A"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DB1F0A"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DB1F0A"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DB1F0A"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DB1F0A"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DB1F0A"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DB1F0A"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DB1F0A"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DB1F0A" w14:paraId="46442BD8" w14:textId="23DEB9DF">
      <w:pPr>
        <w:spacing w:after="0" w:line="259" w:lineRule="auto"/>
        <w:rPr>
          <w:rFonts w:ascii="Calibri" w:hAnsi="Calibri" w:eastAsia="Calibri" w:cs="Times New Roman"/>
        </w:rPr>
      </w:pPr>
      <w:sdt>
        <w:sdtPr>
          <w:rPr>
            <w:rFonts w:ascii="Calibri" w:hAnsi="Calibri" w:eastAsia="Calibri" w:cs="Times New Roman"/>
            <w:highlight w:val="yellow"/>
          </w:rPr>
          <w:id w:val="1635368668"/>
          <w14:checkbox>
            <w14:checked w14:val="1"/>
            <w14:checkedState w14:val="2612" w14:font="MS Gothic"/>
            <w14:uncheckedState w14:val="2610" w14:font="MS Gothic"/>
          </w14:checkbox>
        </w:sdtPr>
        <w:sdtContent>
          <w:r w:rsidRPr="00DB1F0A" w:rsidR="00E16BEA">
            <w:rPr>
              <w:rFonts w:hint="eastAsia" w:ascii="MS Gothic" w:hAnsi="MS Gothic" w:eastAsia="MS Gothic" w:cs="Times New Roman"/>
              <w:highlight w:val="yellow"/>
            </w:rPr>
            <w:t>☒</w:t>
          </w:r>
        </w:sdtContent>
      </w:sdt>
      <w:r w:rsidRPr="00DB1F0A" w:rsidR="00B50688">
        <w:rPr>
          <w:rFonts w:ascii="Calibri" w:hAnsi="Calibri" w:eastAsia="Calibri" w:cs="Times New Roman"/>
          <w:highlight w:val="yellow"/>
        </w:rPr>
        <w:t xml:space="preserve"> immunology</w:t>
      </w:r>
    </w:p>
    <w:p w:rsidRPr="00B50688" w:rsidR="00B50688" w:rsidP="00B50688" w:rsidRDefault="00DB1F0A"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DB1F0A" w14:paraId="55E5E08B" w14:textId="3EF7D342">
      <w:pPr>
        <w:spacing w:after="0" w:line="259" w:lineRule="auto"/>
        <w:rPr>
          <w:rFonts w:ascii="Calibri" w:hAnsi="Calibri" w:eastAsia="Calibri" w:cs="Times New Roman"/>
        </w:rPr>
      </w:pPr>
      <w:sdt>
        <w:sdtPr>
          <w:rPr>
            <w:rFonts w:ascii="Calibri" w:hAnsi="Calibri" w:eastAsia="Calibri" w:cs="Times New Roman"/>
            <w:highlight w:val="yellow"/>
          </w:rPr>
          <w:id w:val="-1890025712"/>
          <w14:checkbox>
            <w14:checked w14:val="1"/>
            <w14:checkedState w14:val="2612" w14:font="MS Gothic"/>
            <w14:uncheckedState w14:val="2610" w14:font="MS Gothic"/>
          </w14:checkbox>
        </w:sdtPr>
        <w:sdtContent>
          <w:r w:rsidRPr="00DB1F0A" w:rsidR="00E16BEA">
            <w:rPr>
              <w:rFonts w:hint="eastAsia" w:ascii="MS Gothic" w:hAnsi="MS Gothic" w:eastAsia="MS Gothic" w:cs="Times New Roman"/>
              <w:highlight w:val="yellow"/>
            </w:rPr>
            <w:t>☒</w:t>
          </w:r>
        </w:sdtContent>
      </w:sdt>
      <w:r w:rsidRPr="00DB1F0A" w:rsidR="00B50688">
        <w:rPr>
          <w:rFonts w:ascii="Calibri" w:hAnsi="Calibri" w:eastAsia="Calibri" w:cs="Times New Roman"/>
          <w:highlight w:val="yellow"/>
        </w:rPr>
        <w:t xml:space="preserve"> microbiology</w:t>
      </w:r>
    </w:p>
    <w:p w:rsidRPr="00B50688" w:rsidR="00B50688" w:rsidP="00B50688" w:rsidRDefault="00DB1F0A"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DB1F0A"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DB1F0A"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DB1F0A"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DB1F0A"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DB1F0A"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DB1F0A"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DB1F0A"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DB1F0A"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DB1F0A"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DB1F0A"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DB1F0A"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DB1F0A"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DB1F0A"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DB1F0A"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DB1F0A"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DB1F0A"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DB1F0A"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DB1F0A"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DB1F0A"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DB1F0A"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DB1F0A"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DB1F0A"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DB1F0A"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DB1F0A"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DB1F0A"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DB1F0A"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DB1F0A"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DB1F0A"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DB1F0A"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DB1F0A"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DB1F0A"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DB1F0A"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DB1F0A"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DB1F0A"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DB1F0A"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DB1F0A"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DB1F0A"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DB1F0A"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DB1F0A"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DB1F0A"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DB1F0A"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DB1F0A"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DB1F0A"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DB1F0A"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DB1F0A"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DB1F0A"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DB1F0A"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DB1F0A"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DB1F0A"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DB1F0A"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DB1F0A"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DB1F0A"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DB1F0A"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DB1F0A"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DB1F0A"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DB1F0A"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DB1F0A"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DB1F0A"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DB1F0A"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0"/>
    <w:p w:rsidRPr="00B50688" w:rsidR="00B50688" w:rsidP="00B50688" w:rsidRDefault="00DB1F0A"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0"/>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DB1F0A"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DB1F0A"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DB1F0A"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DB1F0A"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DB1F0A"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DB1F0A"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DB1F0A"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DB1F0A"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DB1F0A"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DB1F0A"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DB1F0A"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DB1F0A"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DB1F0A"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DB1F0A"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DB1F0A"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DB1F0A"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DB1F0A"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DB1F0A"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DB1F0A"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DB1F0A"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DB1F0A"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DB1F0A"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DB1F0A"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DB1F0A"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DB1F0A"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DB1F0A"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DB1F0A"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DB1F0A"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DB1F0A"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DB1F0A"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DB1F0A"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DB1F0A"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DB1F0A"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DB1F0A"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DB1F0A" w:rsidR="00B50688" w:rsidP="00B50688" w:rsidRDefault="00DB1F0A" w14:paraId="05589116" w14:textId="68A5846F">
      <w:pPr>
        <w:spacing w:after="0" w:line="259" w:lineRule="auto"/>
        <w:rPr>
          <w:rFonts w:ascii="Calibri" w:hAnsi="Calibri" w:eastAsia="Calibri" w:cs="Times New Roman"/>
          <w:highlight w:val="yellow"/>
        </w:rPr>
      </w:pPr>
      <w:sdt>
        <w:sdtPr>
          <w:rPr>
            <w:rFonts w:ascii="Calibri" w:hAnsi="Calibri" w:eastAsia="Calibri" w:cs="Times New Roman"/>
            <w:highlight w:val="yellow"/>
          </w:rPr>
          <w:id w:val="521904574"/>
          <w14:checkbox>
            <w14:checked w14:val="1"/>
            <w14:checkedState w14:val="2612" w14:font="MS Gothic"/>
            <w14:uncheckedState w14:val="2610" w14:font="MS Gothic"/>
          </w14:checkbox>
        </w:sdtPr>
        <w:sdtContent>
          <w:r w:rsidRPr="00DB1F0A" w:rsidR="00E16BEA">
            <w:rPr>
              <w:rFonts w:hint="eastAsia" w:ascii="MS Gothic" w:hAnsi="MS Gothic" w:eastAsia="MS Gothic" w:cs="Times New Roman"/>
              <w:highlight w:val="yellow"/>
            </w:rPr>
            <w:t>☒</w:t>
          </w:r>
        </w:sdtContent>
      </w:sdt>
      <w:r w:rsidRPr="00DB1F0A" w:rsidR="00B50688">
        <w:rPr>
          <w:rFonts w:ascii="Calibri" w:hAnsi="Calibri" w:eastAsia="Calibri" w:cs="Times New Roman"/>
          <w:highlight w:val="yellow"/>
        </w:rPr>
        <w:t xml:space="preserve"> bioengineering</w:t>
      </w:r>
    </w:p>
    <w:p w:rsidRPr="00B50688" w:rsidR="00B50688" w:rsidP="00B50688" w:rsidRDefault="00DB1F0A" w14:paraId="4F98F5DE" w14:textId="756675F2">
      <w:pPr>
        <w:spacing w:after="0" w:line="259" w:lineRule="auto"/>
        <w:rPr>
          <w:rFonts w:ascii="Calibri" w:hAnsi="Calibri" w:eastAsia="Calibri" w:cs="Times New Roman"/>
        </w:rPr>
      </w:pPr>
      <w:sdt>
        <w:sdtPr>
          <w:rPr>
            <w:rFonts w:ascii="Calibri" w:hAnsi="Calibri" w:eastAsia="Calibri" w:cs="Times New Roman"/>
            <w:highlight w:val="yellow"/>
          </w:rPr>
          <w:id w:val="-2036328900"/>
          <w14:checkbox>
            <w14:checked w14:val="1"/>
            <w14:checkedState w14:val="2612" w14:font="MS Gothic"/>
            <w14:uncheckedState w14:val="2610" w14:font="MS Gothic"/>
          </w14:checkbox>
        </w:sdtPr>
        <w:sdtContent>
          <w:r w:rsidRPr="00DB1F0A" w:rsidR="00E16BEA">
            <w:rPr>
              <w:rFonts w:hint="eastAsia" w:ascii="MS Gothic" w:hAnsi="MS Gothic" w:eastAsia="MS Gothic" w:cs="Times New Roman"/>
              <w:highlight w:val="yellow"/>
            </w:rPr>
            <w:t>☒</w:t>
          </w:r>
        </w:sdtContent>
      </w:sdt>
      <w:r w:rsidRPr="00DB1F0A" w:rsidR="00B50688">
        <w:rPr>
          <w:rFonts w:ascii="Calibri" w:hAnsi="Calibri" w:eastAsia="Calibri" w:cs="Times New Roman"/>
          <w:highlight w:val="yellow"/>
        </w:rPr>
        <w:t xml:space="preserve"> biomedical engineering</w:t>
      </w:r>
    </w:p>
    <w:p w:rsidRPr="00B50688" w:rsidR="00B50688" w:rsidP="00B50688" w:rsidRDefault="00DB1F0A" w14:paraId="2731D561" w14:textId="77777777">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engineering</w:t>
      </w:r>
    </w:p>
    <w:p w:rsidRPr="00B50688" w:rsidR="00B50688" w:rsidP="00B50688" w:rsidRDefault="00DB1F0A" w14:paraId="5600ACB1" w14:textId="77777777">
      <w:pPr>
        <w:spacing w:after="0" w:line="259" w:lineRule="auto"/>
        <w:rPr>
          <w:rFonts w:ascii="Calibri" w:hAnsi="Calibri" w:eastAsia="Calibri" w:cs="Times New Roman"/>
        </w:rPr>
      </w:pPr>
      <w:sdt>
        <w:sdtPr>
          <w:rPr>
            <w:rFonts w:ascii="Calibri" w:hAnsi="Calibri" w:eastAsia="Calibri" w:cs="Times New Roman"/>
          </w:rPr>
          <w:id w:val="-2172079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civil engineering</w:t>
      </w:r>
    </w:p>
    <w:p w:rsidRPr="00B50688" w:rsidR="00B50688" w:rsidP="00B50688" w:rsidRDefault="00DB1F0A"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DB1F0A"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DB1F0A"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DB1F0A"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DB1F0A"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DB1F0A"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DB1F0A"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DB1F0A"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DB1F0A"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DB1F0A"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DB1F0A"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DB1F0A"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DB1F0A"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DB1F0A" w14:paraId="5620DFBD" w14:textId="77777777">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engineering</w:t>
      </w:r>
    </w:p>
    <w:p w:rsidRPr="00B50688" w:rsidR="00B50688" w:rsidP="00B50688" w:rsidRDefault="00DB1F0A"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DB1F0A"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DB1F0A"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DB1F0A"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DB1F0A"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DB1F0A"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DB1F0A"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DB1F0A"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DB1F0A"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DB1F0A"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DB1F0A"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DB1F0A"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DB1F0A"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DB1F0A"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DB1F0A"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DB1F0A"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DB1F0A"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DB1F0A"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DB1F0A"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DB1F0A"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DB1F0A"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DB1F0A"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DB1F0A"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DB1F0A"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DB1F0A"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DB1F0A"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DB1F0A"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DB1F0A"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DB1F0A"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DB1F0A"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DB1F0A"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DB1F0A"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DB1F0A"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DB1F0A"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DB1F0A"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DB1F0A"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DB1F0A"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DB1F0A"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w:t>
      </w:r>
      <w:proofErr w:type="spellStart"/>
      <w:r w:rsidRPr="00B50688" w:rsidR="00B50688">
        <w:rPr>
          <w:rFonts w:ascii="Calibri" w:hAnsi="Calibri" w:eastAsia="Calibri" w:cs="Times New Roman"/>
        </w:rPr>
        <w:t>gis</w:t>
      </w:r>
      <w:proofErr w:type="spellEnd"/>
      <w:r w:rsidRPr="00B50688" w:rsidR="00B50688">
        <w:rPr>
          <w:rFonts w:ascii="Calibri" w:hAnsi="Calibri" w:eastAsia="Calibri" w:cs="Times New Roman"/>
        </w:rPr>
        <w:t xml:space="preserve"> </w:t>
      </w:r>
    </w:p>
    <w:p w:rsidRPr="00B50688" w:rsidR="00B50688" w:rsidP="00B50688" w:rsidRDefault="00DB1F0A"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DB1F0A"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DB1F0A"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DB1F0A"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DB1F0A"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DB1F0A"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DB1F0A"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DB1F0A"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DB1F0A"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DB1F0A"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DB1F0A"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DB1F0A"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DB1F0A"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DB1F0A"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DB1F0A"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DB1F0A"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DB1F0A"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DB1F0A"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DB1F0A"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DB1F0A"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DB1F0A"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DB1F0A"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history</w:t>
      </w:r>
    </w:p>
    <w:p w:rsidRPr="00B50688" w:rsidR="00B50688" w:rsidP="00B50688" w:rsidRDefault="00DB1F0A"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history</w:t>
      </w:r>
    </w:p>
    <w:p w:rsidRPr="00B50688" w:rsidR="00B50688" w:rsidP="00B50688" w:rsidRDefault="00DB1F0A"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DB1F0A"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DB1F0A"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history</w:t>
      </w:r>
    </w:p>
    <w:p w:rsidRPr="00B50688" w:rsidR="00B50688" w:rsidP="00B50688" w:rsidRDefault="00DB1F0A"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history</w:t>
      </w:r>
    </w:p>
    <w:p w:rsidRPr="00B50688" w:rsidR="00B50688" w:rsidP="00B50688" w:rsidRDefault="00DB1F0A"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british</w:t>
      </w:r>
      <w:proofErr w:type="spellEnd"/>
      <w:r w:rsidRPr="00B50688" w:rsidR="00B50688">
        <w:rPr>
          <w:rFonts w:ascii="Calibri" w:hAnsi="Calibri" w:eastAsia="Calibri" w:cs="Times New Roman"/>
        </w:rPr>
        <w:t xml:space="preserve"> and </w:t>
      </w:r>
      <w:proofErr w:type="spellStart"/>
      <w:r w:rsidRPr="00B50688" w:rsidR="00B50688">
        <w:rPr>
          <w:rFonts w:ascii="Calibri" w:hAnsi="Calibri" w:eastAsia="Calibri" w:cs="Times New Roman"/>
        </w:rPr>
        <w:t>irish</w:t>
      </w:r>
      <w:proofErr w:type="spellEnd"/>
      <w:r w:rsidRPr="00B50688" w:rsidR="00B50688">
        <w:rPr>
          <w:rFonts w:ascii="Calibri" w:hAnsi="Calibri" w:eastAsia="Calibri" w:cs="Times New Roman"/>
        </w:rPr>
        <w:t xml:space="preserve"> history</w:t>
      </w:r>
    </w:p>
    <w:p w:rsidRPr="00B50688" w:rsidR="00B50688" w:rsidP="00B50688" w:rsidRDefault="00DB1F0A"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DB1F0A"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history</w:t>
      </w:r>
    </w:p>
    <w:p w:rsidRPr="00B50688" w:rsidR="00B50688" w:rsidP="00B50688" w:rsidRDefault="00DB1F0A"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DB1F0A"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DB1F0A"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DB1F0A"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DB1F0A"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DB1F0A"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DB1F0A"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DB1F0A"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DB1F0A"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r w:rsidRPr="00B50688" w:rsidR="00B50688">
        <w:rPr>
          <w:rFonts w:ascii="Calibri" w:hAnsi="Calibri" w:eastAsia="Calibri" w:cs="Times New Roman"/>
        </w:rPr>
        <w:t xml:space="preserve"> history</w:t>
      </w:r>
    </w:p>
    <w:p w:rsidRPr="00B50688" w:rsidR="00B50688" w:rsidP="00B50688" w:rsidRDefault="00DB1F0A"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DB1F0A"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DB1F0A"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DB1F0A"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DB1F0A"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DB1F0A"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DB1F0A"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DB1F0A"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studies</w:t>
      </w:r>
    </w:p>
    <w:p w:rsidRPr="00B50688" w:rsidR="00B50688" w:rsidP="00B50688" w:rsidRDefault="00DB1F0A"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studies</w:t>
      </w:r>
    </w:p>
    <w:p w:rsidRPr="00B50688" w:rsidR="00B50688" w:rsidP="00B50688" w:rsidRDefault="00DB1F0A"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studies</w:t>
      </w:r>
    </w:p>
    <w:p w:rsidRPr="00B50688" w:rsidR="00B50688" w:rsidP="00B50688" w:rsidRDefault="00DB1F0A"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studies</w:t>
      </w:r>
    </w:p>
    <w:p w:rsidRPr="00B50688" w:rsidR="00B50688" w:rsidP="00B50688" w:rsidRDefault="00DB1F0A"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chinese</w:t>
      </w:r>
      <w:proofErr w:type="spellEnd"/>
    </w:p>
    <w:p w:rsidRPr="00B50688" w:rsidR="00B50688" w:rsidP="00B50688" w:rsidRDefault="00DB1F0A"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danish</w:t>
      </w:r>
      <w:proofErr w:type="spellEnd"/>
    </w:p>
    <w:p w:rsidRPr="00B50688" w:rsidR="00B50688" w:rsidP="00B50688" w:rsidRDefault="00DB1F0A"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dutch</w:t>
      </w:r>
      <w:proofErr w:type="spellEnd"/>
    </w:p>
    <w:p w:rsidRPr="00B50688" w:rsidR="00B50688" w:rsidP="00B50688" w:rsidRDefault="00DB1F0A"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language</w:t>
      </w:r>
    </w:p>
    <w:p w:rsidRPr="00B50688" w:rsidR="00B50688" w:rsidP="00B50688" w:rsidRDefault="00DB1F0A"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literature</w:t>
      </w:r>
    </w:p>
    <w:p w:rsidRPr="00B50688" w:rsidR="00B50688" w:rsidP="00B50688" w:rsidRDefault="00DB1F0A"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studies</w:t>
      </w:r>
    </w:p>
    <w:p w:rsidRPr="00B50688" w:rsidR="00B50688" w:rsidP="00B50688" w:rsidRDefault="00DB1F0A"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finnish</w:t>
      </w:r>
      <w:proofErr w:type="spellEnd"/>
    </w:p>
    <w:p w:rsidRPr="00B50688" w:rsidR="00B50688" w:rsidP="00B50688" w:rsidRDefault="00DB1F0A"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french</w:t>
      </w:r>
      <w:proofErr w:type="spellEnd"/>
    </w:p>
    <w:p w:rsidRPr="00B50688" w:rsidR="00B50688" w:rsidP="00B50688" w:rsidRDefault="00DB1F0A"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german</w:t>
      </w:r>
      <w:proofErr w:type="spellEnd"/>
    </w:p>
    <w:p w:rsidRPr="00B50688" w:rsidR="00B50688" w:rsidP="00B50688" w:rsidRDefault="00DB1F0A"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italian</w:t>
      </w:r>
      <w:proofErr w:type="spellEnd"/>
    </w:p>
    <w:p w:rsidRPr="00B50688" w:rsidR="00B50688" w:rsidP="00B50688" w:rsidRDefault="00DB1F0A"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japanese</w:t>
      </w:r>
      <w:proofErr w:type="spellEnd"/>
    </w:p>
    <w:p w:rsidRPr="00B50688" w:rsidR="00B50688" w:rsidP="00B50688" w:rsidRDefault="00DB1F0A"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DB1F0A"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norwegian</w:t>
      </w:r>
      <w:proofErr w:type="spellEnd"/>
    </w:p>
    <w:p w:rsidRPr="00B50688" w:rsidR="00B50688" w:rsidP="00B50688" w:rsidRDefault="00DB1F0A"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portuguese</w:t>
      </w:r>
      <w:proofErr w:type="spellEnd"/>
    </w:p>
    <w:p w:rsidRPr="00B50688" w:rsidR="00B50688" w:rsidP="00B50688" w:rsidRDefault="00DB1F0A"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p>
    <w:p w:rsidRPr="00B50688" w:rsidR="00B50688" w:rsidP="00B50688" w:rsidRDefault="00DB1F0A"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spanish</w:t>
      </w:r>
      <w:proofErr w:type="spellEnd"/>
    </w:p>
    <w:p w:rsidRPr="00B50688" w:rsidR="00B50688" w:rsidP="00B50688" w:rsidRDefault="00DB1F0A"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swedish</w:t>
      </w:r>
      <w:proofErr w:type="spellEnd"/>
    </w:p>
    <w:p w:rsidRPr="00B50688" w:rsidR="00B50688" w:rsidP="00B50688" w:rsidRDefault="00DB1F0A"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DB1F0A"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DB1F0A"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DB1F0A"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DB1F0A"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DB1F0A"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DB1F0A"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w:t>
      </w:r>
      <w:proofErr w:type="spellStart"/>
      <w:r w:rsidRPr="00B50688" w:rsidR="00B50688">
        <w:rPr>
          <w:rFonts w:ascii="Calibri" w:hAnsi="Calibri" w:eastAsia="Calibri" w:cs="Times New Roman"/>
        </w:rPr>
        <w:t>greek</w:t>
      </w:r>
      <w:proofErr w:type="spellEnd"/>
    </w:p>
    <w:p w:rsidRPr="00B50688" w:rsidR="00B50688" w:rsidP="00B50688" w:rsidRDefault="00DB1F0A"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celtic</w:t>
      </w:r>
      <w:proofErr w:type="spellEnd"/>
      <w:r w:rsidRPr="00B50688" w:rsidR="00B50688">
        <w:rPr>
          <w:rFonts w:ascii="Calibri" w:hAnsi="Calibri" w:eastAsia="Calibri" w:cs="Times New Roman"/>
        </w:rPr>
        <w:t xml:space="preserve"> studies</w:t>
      </w:r>
    </w:p>
    <w:p w:rsidRPr="00B50688" w:rsidR="00B50688" w:rsidP="00B50688" w:rsidRDefault="00DB1F0A"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DB1F0A"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latin</w:t>
      </w:r>
      <w:proofErr w:type="spellEnd"/>
    </w:p>
    <w:p w:rsidRPr="00B50688" w:rsidR="00B50688" w:rsidP="00B50688" w:rsidRDefault="00DB1F0A"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DB1F0A"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DB1F0A"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DB1F0A"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DB1F0A"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DB1F0A"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DB1F0A"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DB1F0A"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DB1F0A"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DB1F0A"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DB1F0A"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DB1F0A"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DB1F0A"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DB1F0A"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DB1F0A"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DB1F0A"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DB1F0A"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DB1F0A"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DB1F0A"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DB1F0A"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DB1F0A"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DB1F0A"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DB1F0A"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DB1F0A"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DB1F0A"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DB1F0A"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DB1F0A"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DB1F0A"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DB1F0A"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DB1F0A"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DB1F0A"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DB1F0A"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DB1F0A"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DB1F0A"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DB1F0A"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DB1F0A"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DB1F0A"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DB1F0A"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DB1F0A"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DB1F0A"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DB1F0A"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DB1F0A"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DB1F0A" w14:paraId="146E4AB8" w14:textId="311AA495">
      <w:pPr>
        <w:spacing w:after="0" w:line="259" w:lineRule="auto"/>
        <w:rPr>
          <w:rFonts w:ascii="Calibri" w:hAnsi="Calibri" w:eastAsia="Calibri" w:cs="Times New Roman"/>
        </w:rPr>
      </w:pPr>
      <w:sdt>
        <w:sdtPr>
          <w:rPr>
            <w:rFonts w:ascii="Calibri" w:hAnsi="Calibri" w:eastAsia="Calibri" w:cs="Times New Roman"/>
            <w:highlight w:val="yellow"/>
          </w:rPr>
          <w:id w:val="-813334938"/>
          <w14:checkbox>
            <w14:checked w14:val="1"/>
            <w14:checkedState w14:val="2612" w14:font="MS Gothic"/>
            <w14:uncheckedState w14:val="2610" w14:font="MS Gothic"/>
          </w14:checkbox>
        </w:sdtPr>
        <w:sdtContent>
          <w:r w:rsidRPr="00DB1F0A" w:rsidR="00E16BEA">
            <w:rPr>
              <w:rFonts w:hint="eastAsia" w:ascii="MS Gothic" w:hAnsi="MS Gothic" w:eastAsia="MS Gothic" w:cs="Times New Roman"/>
              <w:highlight w:val="yellow"/>
            </w:rPr>
            <w:t>☒</w:t>
          </w:r>
        </w:sdtContent>
      </w:sdt>
      <w:r w:rsidRPr="00DB1F0A" w:rsidR="00B50688">
        <w:rPr>
          <w:rFonts w:ascii="Calibri" w:hAnsi="Calibri" w:eastAsia="Calibri" w:cs="Times New Roman"/>
          <w:highlight w:val="yellow"/>
        </w:rPr>
        <w:t xml:space="preserve"> tissue engineering</w:t>
      </w:r>
    </w:p>
    <w:p w:rsidRPr="00B50688" w:rsidR="00B50688" w:rsidP="00B50688" w:rsidRDefault="00DB1F0A"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DB1F0A"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DB1F0A"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DB1F0A"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DB1F0A"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DB1F0A"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DB1F0A"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DB1F0A"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DB1F0A"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DB1F0A"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DB1F0A"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DB1F0A"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DB1F0A"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DB1F0A"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DB1F0A"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DB1F0A"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DB1F0A"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DB1F0A"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DB1F0A"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DB1F0A"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DB1F0A"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DB1F0A"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DB1F0A"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DB1F0A"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DB1F0A"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DB1F0A"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DB1F0A"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DB1F0A"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DB1F0A"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DB1F0A"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DB1F0A"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DB1F0A"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DB1F0A"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DB1F0A"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DB1F0A"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DB1F0A"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DB1F0A"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DB1F0A"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DB1F0A"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DB1F0A"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DB1F0A"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DB1F0A"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DB1F0A"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DB1F0A"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DB1F0A"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DB1F0A"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DB1F0A"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DB1F0A"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DB1F0A"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DB1F0A"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DB1F0A"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DB1F0A"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DB1F0A"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DB1F0A"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DB1F0A"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DB1F0A"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DB1F0A"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DB1F0A"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DB1F0A"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DB1F0A"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DB1F0A"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DB1F0A"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DB1F0A"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DB1F0A"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DB1F0A"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DB1F0A"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DB1F0A"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DB1F0A"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DB1F0A"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DB1F0A"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DB1F0A"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DB1F0A"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DB1F0A"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DB1F0A"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DB1F0A"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DB1F0A"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DB1F0A"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DB1F0A"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DB1F0A"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DB1F0A"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DB1F0A"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raile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16cid:durableId="1926377160">
    <w:abstractNumId w:val="4"/>
  </w:num>
  <w:num w:numId="2" w16cid:durableId="1690912393">
    <w:abstractNumId w:val="20"/>
  </w:num>
  <w:num w:numId="3" w16cid:durableId="908269138">
    <w:abstractNumId w:val="18"/>
  </w:num>
  <w:num w:numId="4" w16cid:durableId="189614022">
    <w:abstractNumId w:val="12"/>
  </w:num>
  <w:num w:numId="5" w16cid:durableId="1038432715">
    <w:abstractNumId w:val="14"/>
  </w:num>
  <w:num w:numId="6" w16cid:durableId="1697611009">
    <w:abstractNumId w:val="17"/>
  </w:num>
  <w:num w:numId="7" w16cid:durableId="1669285875">
    <w:abstractNumId w:val="7"/>
  </w:num>
  <w:num w:numId="8" w16cid:durableId="1884822797">
    <w:abstractNumId w:val="1"/>
  </w:num>
  <w:num w:numId="9" w16cid:durableId="1153719100">
    <w:abstractNumId w:val="19"/>
  </w:num>
  <w:num w:numId="10" w16cid:durableId="1132019829">
    <w:abstractNumId w:val="6"/>
  </w:num>
  <w:num w:numId="11" w16cid:durableId="246160350">
    <w:abstractNumId w:val="3"/>
  </w:num>
  <w:num w:numId="12" w16cid:durableId="1389576762">
    <w:abstractNumId w:val="4"/>
  </w:num>
  <w:num w:numId="13" w16cid:durableId="1848981537">
    <w:abstractNumId w:val="11"/>
  </w:num>
  <w:num w:numId="14" w16cid:durableId="208735116">
    <w:abstractNumId w:val="20"/>
  </w:num>
  <w:num w:numId="15" w16cid:durableId="552469613">
    <w:abstractNumId w:val="9"/>
  </w:num>
  <w:num w:numId="16" w16cid:durableId="2064602213">
    <w:abstractNumId w:val="18"/>
  </w:num>
  <w:num w:numId="17" w16cid:durableId="1880361327">
    <w:abstractNumId w:val="5"/>
  </w:num>
  <w:num w:numId="18" w16cid:durableId="372383600">
    <w:abstractNumId w:val="12"/>
  </w:num>
  <w:num w:numId="19" w16cid:durableId="999118015">
    <w:abstractNumId w:val="14"/>
  </w:num>
  <w:num w:numId="20" w16cid:durableId="1944459889">
    <w:abstractNumId w:val="17"/>
  </w:num>
  <w:num w:numId="21" w16cid:durableId="78716968">
    <w:abstractNumId w:val="8"/>
  </w:num>
  <w:num w:numId="22" w16cid:durableId="1392728867">
    <w:abstractNumId w:val="15"/>
  </w:num>
  <w:num w:numId="23" w16cid:durableId="526451965">
    <w:abstractNumId w:val="2"/>
  </w:num>
  <w:num w:numId="24" w16cid:durableId="291255272">
    <w:abstractNumId w:val="7"/>
  </w:num>
  <w:num w:numId="25" w16cid:durableId="50005847">
    <w:abstractNumId w:val="13"/>
  </w:num>
  <w:num w:numId="26" w16cid:durableId="936988002">
    <w:abstractNumId w:val="1"/>
  </w:num>
  <w:num w:numId="27" w16cid:durableId="1629508608">
    <w:abstractNumId w:val="3"/>
  </w:num>
  <w:num w:numId="28" w16cid:durableId="1118794724">
    <w:abstractNumId w:val="19"/>
  </w:num>
  <w:num w:numId="29" w16cid:durableId="1040982865">
    <w:abstractNumId w:val="16"/>
  </w:num>
  <w:num w:numId="30" w16cid:durableId="280452444">
    <w:abstractNumId w:val="0"/>
  </w:num>
  <w:num w:numId="31" w16cid:durableId="1477406648">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197AD3"/>
    <w:rsid w:val="00201139"/>
    <w:rsid w:val="0024782F"/>
    <w:rsid w:val="002813A3"/>
    <w:rsid w:val="002C45F3"/>
    <w:rsid w:val="00367D7A"/>
    <w:rsid w:val="00382254"/>
    <w:rsid w:val="00386B88"/>
    <w:rsid w:val="00445A72"/>
    <w:rsid w:val="004E3998"/>
    <w:rsid w:val="00522817"/>
    <w:rsid w:val="00582388"/>
    <w:rsid w:val="005A1082"/>
    <w:rsid w:val="0068098D"/>
    <w:rsid w:val="00691CCE"/>
    <w:rsid w:val="0070561D"/>
    <w:rsid w:val="00711D23"/>
    <w:rsid w:val="00825FC3"/>
    <w:rsid w:val="008C64F9"/>
    <w:rsid w:val="00973675"/>
    <w:rsid w:val="00987B99"/>
    <w:rsid w:val="00A64EA6"/>
    <w:rsid w:val="00A77889"/>
    <w:rsid w:val="00A83877"/>
    <w:rsid w:val="00A93A23"/>
    <w:rsid w:val="00AC065B"/>
    <w:rsid w:val="00AD39E5"/>
    <w:rsid w:val="00B31BC1"/>
    <w:rsid w:val="00B50688"/>
    <w:rsid w:val="00B858CE"/>
    <w:rsid w:val="00BF4042"/>
    <w:rsid w:val="00D062A4"/>
    <w:rsid w:val="00DB1F0A"/>
    <w:rsid w:val="00E16BEA"/>
    <w:rsid w:val="00E57019"/>
    <w:rsid w:val="00E92177"/>
    <w:rsid w:val="00EE265D"/>
    <w:rsid w:val="00FA59D2"/>
    <w:rsid w:val="022FF4CF"/>
    <w:rsid w:val="0CBDA00D"/>
    <w:rsid w:val="11671570"/>
    <w:rsid w:val="137A3E05"/>
    <w:rsid w:val="1CC359A8"/>
    <w:rsid w:val="20B08340"/>
    <w:rsid w:val="244E9B54"/>
    <w:rsid w:val="2E6DB801"/>
    <w:rsid w:val="30C5DDBC"/>
    <w:rsid w:val="37313B13"/>
    <w:rsid w:val="3B00D806"/>
    <w:rsid w:val="456DE65C"/>
    <w:rsid w:val="57EC635D"/>
    <w:rsid w:val="58533893"/>
    <w:rsid w:val="5B9B75AA"/>
    <w:rsid w:val="5BD3FF13"/>
    <w:rsid w:val="5CADA762"/>
    <w:rsid w:val="61B22E5F"/>
    <w:rsid w:val="637AA569"/>
    <w:rsid w:val="65483F33"/>
    <w:rsid w:val="6D4AA74E"/>
    <w:rsid w:val="6E5C97FC"/>
    <w:rsid w:val="6F6026D5"/>
    <w:rsid w:val="70DDE5C6"/>
    <w:rsid w:val="766A4194"/>
    <w:rsid w:val="766B9FB9"/>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445E29FA-6ABA-4F94-A569-C0440FF9F8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E92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glossaryDocument" Target="glossary/document.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hyperlink" Target="https://www.ncl.ac.uk/engineering/staff/profile/priscilamelo.html" TargetMode="External" Id="rId10" /><Relationship Type="http://schemas.openxmlformats.org/officeDocument/2006/relationships/customXml" Target="../customXml/item4.xml" Id="rId4" /><Relationship Type="http://schemas.openxmlformats.org/officeDocument/2006/relationships/hyperlink" Target="mailto:priscila.melo@newcastle.ac.uk" TargetMode="Externa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raile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810219"/>
    <w:rsid w:val="0084037D"/>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b08b42-9f37-4cb9-bb3e-4d2d8b923c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10" ma:contentTypeDescription="Create a new document." ma:contentTypeScope="" ma:versionID="c68641faf467c5d0fb8d5552c228c5a5">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a6f757e8185cc6cc431215928591cf26"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5D336-80BD-4E9E-B1D2-AA7FE997E712}">
  <ds:schemaRefs>
    <ds:schemaRef ds:uri="http://schemas.microsoft.com/office/infopath/2007/PartnerControls"/>
    <ds:schemaRef ds:uri="http://purl.org/dc/elements/1.1/"/>
    <ds:schemaRef ds:uri="http://schemas.microsoft.com/office/2006/metadata/properties"/>
    <ds:schemaRef ds:uri="http://purl.org/dc/terms/"/>
    <ds:schemaRef ds:uri="4db08b42-9f37-4cb9-bb3e-4d2d8b923c24"/>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0D839F90-21C1-4F3F-B7CB-311B14350394}">
  <ds:schemaRefs>
    <ds:schemaRef ds:uri="http://schemas.openxmlformats.org/officeDocument/2006/bibliography"/>
  </ds:schemaRefs>
</ds:datastoreItem>
</file>

<file path=customXml/itemProps4.xml><?xml version="1.0" encoding="utf-8"?>
<ds:datastoreItem xmlns:ds="http://schemas.openxmlformats.org/officeDocument/2006/customXml" ds:itemID="{42A6D561-DBD3-4B6B-9F59-08458F74B8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Michael-John Harvey</cp:lastModifiedBy>
  <cp:revision>6</cp:revision>
  <dcterms:created xsi:type="dcterms:W3CDTF">2022-11-24T21:50:00Z</dcterms:created>
  <dcterms:modified xsi:type="dcterms:W3CDTF">2022-12-08T12:22:48Z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y fmtid="{D5CDD505-2E9C-101B-9397-08002B2CF9AE}" pid="3" name="GrammarlyDocumentId">
    <vt:lpwstr>558abcd77f29baa4ac7728269c348d07f2798ae80a6b928c42826d0fb6ed403f</vt:lpwstr>
  </property>
  <property fmtid="{D5CDD505-2E9C-101B-9397-08002B2CF9AE}" pid="4" name="Mendeley Recent Style Id 0_1">
    <vt:lpwstr>http://www.zotero.org/styles/acs-biomaterials-science-and-engineering</vt:lpwstr>
  </property>
  <property fmtid="{D5CDD505-2E9C-101B-9397-08002B2CF9AE}" pid="5" name="Mendeley Recent Style Name 0_1">
    <vt:lpwstr>ACS Biomaterials Science &amp; Engineering</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http://www.zotero.org/styles/polymers</vt:lpwstr>
  </property>
  <property fmtid="{D5CDD505-2E9C-101B-9397-08002B2CF9AE}" pid="23" name="Mendeley Recent Style Name 9_1">
    <vt:lpwstr>Polymers</vt:lpwstr>
  </property>
  <property fmtid="{D5CDD505-2E9C-101B-9397-08002B2CF9AE}" pid="24" name="Mendeley Document_1">
    <vt:lpwstr>True</vt:lpwstr>
  </property>
  <property fmtid="{D5CDD505-2E9C-101B-9397-08002B2CF9AE}" pid="25" name="Mendeley Unique User Id_1">
    <vt:lpwstr>c9514ff4-b16d-3d42-96b5-714f11c3632a</vt:lpwstr>
  </property>
  <property fmtid="{D5CDD505-2E9C-101B-9397-08002B2CF9AE}" pid="26" name="Mendeley Citation Style_1">
    <vt:lpwstr>http://www.zotero.org/styles/nature</vt:lpwstr>
  </property>
</Properties>
</file>